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EBFB5" w14:textId="77777777" w:rsidR="001E6D5A" w:rsidRPr="008E04B0" w:rsidRDefault="001E6D5A" w:rsidP="008E04B0">
      <w:pPr>
        <w:ind w:right="-7"/>
        <w:jc w:val="center"/>
        <w:rPr>
          <w:b/>
          <w:sz w:val="28"/>
          <w:szCs w:val="28"/>
        </w:rPr>
      </w:pPr>
      <w:r w:rsidRPr="008E04B0">
        <w:rPr>
          <w:b/>
          <w:sz w:val="28"/>
          <w:szCs w:val="28"/>
        </w:rPr>
        <w:t>Insediamento della Commissione di studio ed analisi sul sistema delle Conferenze</w:t>
      </w:r>
    </w:p>
    <w:p w14:paraId="22E72E02" w14:textId="77777777" w:rsidR="00221F32" w:rsidRDefault="00A22111" w:rsidP="008E04B0">
      <w:pPr>
        <w:ind w:right="-7"/>
        <w:jc w:val="center"/>
        <w:rPr>
          <w:b/>
          <w:sz w:val="28"/>
          <w:szCs w:val="28"/>
        </w:rPr>
      </w:pPr>
      <w:r w:rsidRPr="008E04B0">
        <w:rPr>
          <w:b/>
          <w:sz w:val="28"/>
          <w:szCs w:val="28"/>
        </w:rPr>
        <w:t>Intervento del Ministro per gli affari regionali e le autonomie</w:t>
      </w:r>
      <w:r w:rsidR="00221F32">
        <w:rPr>
          <w:b/>
          <w:sz w:val="28"/>
          <w:szCs w:val="28"/>
        </w:rPr>
        <w:t xml:space="preserve"> </w:t>
      </w:r>
    </w:p>
    <w:p w14:paraId="2F842E55" w14:textId="19DCD899" w:rsidR="00A22111" w:rsidRDefault="00A22111" w:rsidP="008E04B0">
      <w:pPr>
        <w:ind w:right="-7"/>
        <w:jc w:val="center"/>
        <w:rPr>
          <w:b/>
          <w:sz w:val="28"/>
          <w:szCs w:val="28"/>
        </w:rPr>
      </w:pPr>
      <w:r w:rsidRPr="008E04B0">
        <w:rPr>
          <w:b/>
          <w:sz w:val="28"/>
          <w:szCs w:val="28"/>
        </w:rPr>
        <w:t>Sen. Roberto Calderoli</w:t>
      </w:r>
    </w:p>
    <w:p w14:paraId="486E1F34" w14:textId="77777777" w:rsidR="00221F32" w:rsidRDefault="00221F32" w:rsidP="008E04B0">
      <w:pPr>
        <w:ind w:right="-7"/>
        <w:jc w:val="center"/>
        <w:rPr>
          <w:b/>
          <w:sz w:val="28"/>
          <w:szCs w:val="28"/>
        </w:rPr>
      </w:pPr>
    </w:p>
    <w:p w14:paraId="757BEBC4" w14:textId="4C8537AF" w:rsidR="00A22111" w:rsidRDefault="00B627D8" w:rsidP="00221F32">
      <w:pPr>
        <w:ind w:right="-7"/>
        <w:jc w:val="center"/>
        <w:rPr>
          <w:b/>
          <w:i/>
          <w:sz w:val="28"/>
          <w:szCs w:val="28"/>
        </w:rPr>
      </w:pPr>
      <w:r w:rsidRPr="00221F32">
        <w:rPr>
          <w:b/>
          <w:i/>
          <w:sz w:val="28"/>
          <w:szCs w:val="28"/>
        </w:rPr>
        <w:t>Roma, 31 maggio 2023</w:t>
      </w:r>
    </w:p>
    <w:p w14:paraId="2E10A4EE" w14:textId="77777777" w:rsidR="001D5F03" w:rsidRDefault="001D5F03" w:rsidP="008E04B0">
      <w:pPr>
        <w:ind w:right="-7"/>
        <w:jc w:val="both"/>
        <w:rPr>
          <w:b/>
          <w:i/>
          <w:sz w:val="28"/>
          <w:szCs w:val="28"/>
        </w:rPr>
      </w:pPr>
    </w:p>
    <w:p w14:paraId="4F941980" w14:textId="77777777" w:rsidR="001D5F03" w:rsidRDefault="001D5F03" w:rsidP="008E04B0">
      <w:pPr>
        <w:ind w:right="-7"/>
        <w:jc w:val="both"/>
        <w:rPr>
          <w:b/>
          <w:i/>
          <w:sz w:val="28"/>
          <w:szCs w:val="28"/>
        </w:rPr>
      </w:pPr>
    </w:p>
    <w:p w14:paraId="7FA31192" w14:textId="77777777" w:rsidR="001D5F03" w:rsidRPr="008E04B0" w:rsidRDefault="001D5F03" w:rsidP="008E04B0">
      <w:pPr>
        <w:ind w:right="-7"/>
        <w:jc w:val="both"/>
        <w:rPr>
          <w:b/>
          <w:i/>
          <w:sz w:val="28"/>
          <w:szCs w:val="28"/>
        </w:rPr>
      </w:pPr>
    </w:p>
    <w:p w14:paraId="2DE61895" w14:textId="77777777" w:rsidR="001E44DA" w:rsidRDefault="001E44DA" w:rsidP="002402A4">
      <w:pPr>
        <w:pStyle w:val="Paragrafoelenco"/>
        <w:numPr>
          <w:ilvl w:val="0"/>
          <w:numId w:val="1"/>
        </w:numPr>
        <w:ind w:left="0" w:right="-7" w:firstLine="0"/>
        <w:jc w:val="both"/>
        <w:rPr>
          <w:sz w:val="28"/>
          <w:szCs w:val="28"/>
        </w:rPr>
      </w:pPr>
      <w:r w:rsidRPr="00847A72">
        <w:rPr>
          <w:sz w:val="28"/>
          <w:szCs w:val="28"/>
        </w:rPr>
        <w:t xml:space="preserve">Rivolgo un cordiale saluto ai membri della </w:t>
      </w:r>
      <w:r w:rsidRPr="00847A72">
        <w:rPr>
          <w:i/>
          <w:sz w:val="28"/>
          <w:szCs w:val="28"/>
        </w:rPr>
        <w:t>Commissione con compiti di studio e analisi dei temi legati all’organizzazione e al funzionamento della Conferenza permanente per i rapporti tra lo Stato, le Regioni e le Province autonome di Trento e di Bolzano, della Conferenza Stato, città e autonomie locali e della Conferenza unificata, di cui al decreto legislativo 28 agosto 1997, n. 281, nonché della Conferenza permanente per il coordinamento della finanza pubblica, di cui al capo V del decreto legislativo 6 maggio 2011, n. 68.</w:t>
      </w:r>
      <w:r w:rsidRPr="00847A72">
        <w:rPr>
          <w:sz w:val="28"/>
          <w:szCs w:val="28"/>
        </w:rPr>
        <w:t xml:space="preserve"> Già il nome della Commissione </w:t>
      </w:r>
      <w:r w:rsidRPr="00847A72">
        <w:rPr>
          <w:b/>
          <w:sz w:val="28"/>
          <w:szCs w:val="28"/>
        </w:rPr>
        <w:t xml:space="preserve">rivela la complessità e la vastità del tema </w:t>
      </w:r>
      <w:r w:rsidRPr="00E07440">
        <w:rPr>
          <w:sz w:val="28"/>
          <w:szCs w:val="28"/>
        </w:rPr>
        <w:t>oggetto d</w:t>
      </w:r>
      <w:r w:rsidR="00E07440" w:rsidRPr="00E07440">
        <w:rPr>
          <w:sz w:val="28"/>
          <w:szCs w:val="28"/>
        </w:rPr>
        <w:t>i studio e analisi</w:t>
      </w:r>
      <w:r w:rsidRPr="00847A72">
        <w:rPr>
          <w:sz w:val="28"/>
          <w:szCs w:val="28"/>
        </w:rPr>
        <w:t xml:space="preserve">. </w:t>
      </w:r>
    </w:p>
    <w:p w14:paraId="6F49E06C" w14:textId="77777777" w:rsidR="00847A72" w:rsidRPr="00847A72" w:rsidRDefault="00847A72" w:rsidP="00847A72">
      <w:pPr>
        <w:pStyle w:val="Paragrafoelenco"/>
        <w:ind w:left="0" w:right="-7"/>
        <w:jc w:val="both"/>
        <w:rPr>
          <w:sz w:val="28"/>
          <w:szCs w:val="28"/>
        </w:rPr>
      </w:pPr>
    </w:p>
    <w:p w14:paraId="00337657" w14:textId="3F30C934" w:rsidR="001E44DA" w:rsidRDefault="001E44DA" w:rsidP="00854CF7">
      <w:pPr>
        <w:pStyle w:val="Paragrafoelenco"/>
        <w:numPr>
          <w:ilvl w:val="0"/>
          <w:numId w:val="1"/>
        </w:numPr>
        <w:ind w:left="0" w:right="-7" w:firstLine="0"/>
        <w:jc w:val="both"/>
        <w:rPr>
          <w:sz w:val="28"/>
          <w:szCs w:val="28"/>
        </w:rPr>
      </w:pPr>
      <w:r w:rsidRPr="00217E4B">
        <w:rPr>
          <w:sz w:val="28"/>
          <w:szCs w:val="28"/>
        </w:rPr>
        <w:t xml:space="preserve">Quest’anno ricorre il </w:t>
      </w:r>
      <w:r w:rsidRPr="00217E4B">
        <w:rPr>
          <w:b/>
          <w:sz w:val="28"/>
          <w:szCs w:val="28"/>
        </w:rPr>
        <w:t>quarantesimo anniversario dell’istituzione, in via amministrativa, della Conferenza Stato-Regioni, con il D.P.C.M. 12 ottobre 1983</w:t>
      </w:r>
      <w:r w:rsidRPr="00217E4B">
        <w:rPr>
          <w:sz w:val="28"/>
          <w:szCs w:val="28"/>
        </w:rPr>
        <w:t xml:space="preserve">. </w:t>
      </w:r>
      <w:r w:rsidR="00847A72">
        <w:rPr>
          <w:sz w:val="28"/>
          <w:szCs w:val="28"/>
        </w:rPr>
        <w:t>Q</w:t>
      </w:r>
      <w:r w:rsidRPr="00217E4B">
        <w:rPr>
          <w:sz w:val="28"/>
          <w:szCs w:val="28"/>
        </w:rPr>
        <w:t xml:space="preserve">uel D.P.C.M. raccoglieva </w:t>
      </w:r>
      <w:r w:rsidR="00264369">
        <w:rPr>
          <w:sz w:val="28"/>
          <w:szCs w:val="28"/>
        </w:rPr>
        <w:t xml:space="preserve">gli </w:t>
      </w:r>
      <w:r w:rsidRPr="00217E4B">
        <w:rPr>
          <w:sz w:val="28"/>
          <w:szCs w:val="28"/>
        </w:rPr>
        <w:t xml:space="preserve">esiti </w:t>
      </w:r>
      <w:r w:rsidR="00264369">
        <w:rPr>
          <w:sz w:val="28"/>
          <w:szCs w:val="28"/>
        </w:rPr>
        <w:t xml:space="preserve">dei lavori </w:t>
      </w:r>
      <w:r w:rsidRPr="00217E4B">
        <w:rPr>
          <w:sz w:val="28"/>
          <w:szCs w:val="28"/>
        </w:rPr>
        <w:t>d</w:t>
      </w:r>
      <w:r w:rsidR="00050B31" w:rsidRPr="00217E4B">
        <w:rPr>
          <w:sz w:val="28"/>
          <w:szCs w:val="28"/>
        </w:rPr>
        <w:t>i una commissione ministeriale presieduta da Franco Bassanini</w:t>
      </w:r>
      <w:r w:rsidR="00050B31">
        <w:rPr>
          <w:rStyle w:val="Rimandonotaapidipagina"/>
          <w:sz w:val="28"/>
          <w:szCs w:val="28"/>
        </w:rPr>
        <w:footnoteReference w:id="1"/>
      </w:r>
      <w:r w:rsidR="00050B31" w:rsidRPr="00217E4B">
        <w:rPr>
          <w:sz w:val="28"/>
          <w:szCs w:val="28"/>
        </w:rPr>
        <w:t xml:space="preserve"> e, ancora prima,</w:t>
      </w:r>
      <w:r w:rsidRPr="00217E4B">
        <w:rPr>
          <w:sz w:val="28"/>
          <w:szCs w:val="28"/>
        </w:rPr>
        <w:t xml:space="preserve"> </w:t>
      </w:r>
      <w:r w:rsidR="00217E4B" w:rsidRPr="00217E4B">
        <w:rPr>
          <w:sz w:val="28"/>
          <w:szCs w:val="28"/>
        </w:rPr>
        <w:t xml:space="preserve">di </w:t>
      </w:r>
      <w:r w:rsidRPr="00217E4B">
        <w:rPr>
          <w:sz w:val="28"/>
          <w:szCs w:val="28"/>
        </w:rPr>
        <w:t>una</w:t>
      </w:r>
      <w:r w:rsidR="00217E4B" w:rsidRPr="00217E4B">
        <w:rPr>
          <w:sz w:val="28"/>
          <w:szCs w:val="28"/>
        </w:rPr>
        <w:t xml:space="preserve"> </w:t>
      </w:r>
      <w:r w:rsidRPr="00217E4B">
        <w:rPr>
          <w:sz w:val="28"/>
          <w:szCs w:val="28"/>
        </w:rPr>
        <w:t xml:space="preserve">indagine condotta dalla Commissione parlamentare per le questioni regionali che, già nel 1980 (VIII legislatura), invitava il Governo a considerare la necessità dell’istituzione di </w:t>
      </w:r>
      <w:r w:rsidRPr="00217E4B">
        <w:rPr>
          <w:rFonts w:ascii="Times" w:hAnsi="Times"/>
          <w:sz w:val="28"/>
          <w:szCs w:val="28"/>
        </w:rPr>
        <w:t>«</w:t>
      </w:r>
      <w:r w:rsidRPr="00217E4B">
        <w:rPr>
          <w:sz w:val="28"/>
          <w:szCs w:val="28"/>
        </w:rPr>
        <w:t>una Conferenza permanente dei Presidenti delle Giunte regionali da istituire presso la Presidenza del Consiglio</w:t>
      </w:r>
      <w:r w:rsidRPr="00217E4B">
        <w:rPr>
          <w:rFonts w:ascii="Times" w:hAnsi="Times"/>
          <w:sz w:val="28"/>
          <w:szCs w:val="28"/>
        </w:rPr>
        <w:t>»</w:t>
      </w:r>
      <w:r w:rsidRPr="00217E4B">
        <w:rPr>
          <w:sz w:val="28"/>
          <w:szCs w:val="28"/>
        </w:rPr>
        <w:t>,</w:t>
      </w:r>
      <w:r w:rsidR="00217E4B" w:rsidRPr="00217E4B">
        <w:rPr>
          <w:sz w:val="28"/>
          <w:szCs w:val="28"/>
        </w:rPr>
        <w:t xml:space="preserve"> </w:t>
      </w:r>
      <w:r w:rsidRPr="00217E4B">
        <w:rPr>
          <w:sz w:val="28"/>
          <w:szCs w:val="28"/>
        </w:rPr>
        <w:t>ponendosi già il problema del raccordo trilaterale fra Parlamento, Governo e Regioni</w:t>
      </w:r>
      <w:r w:rsidR="00217E4B" w:rsidRPr="00217E4B">
        <w:rPr>
          <w:sz w:val="28"/>
          <w:szCs w:val="28"/>
        </w:rPr>
        <w:t xml:space="preserve"> e della titolarità dell’indirizzo politico fra Governo e Parlamento</w:t>
      </w:r>
      <w:r w:rsidRPr="00217E4B">
        <w:rPr>
          <w:sz w:val="28"/>
          <w:szCs w:val="28"/>
        </w:rPr>
        <w:t xml:space="preserve">. Con uno sguardo ancora più prospettico, </w:t>
      </w:r>
      <w:r w:rsidR="00847A72">
        <w:rPr>
          <w:sz w:val="28"/>
          <w:szCs w:val="28"/>
        </w:rPr>
        <w:t>vale la pena</w:t>
      </w:r>
      <w:r w:rsidRPr="00217E4B">
        <w:rPr>
          <w:sz w:val="28"/>
          <w:szCs w:val="28"/>
        </w:rPr>
        <w:t xml:space="preserve"> ricordare che già prima dell’istituzion</w:t>
      </w:r>
      <w:r w:rsidR="00264369">
        <w:rPr>
          <w:sz w:val="28"/>
          <w:szCs w:val="28"/>
        </w:rPr>
        <w:t>e</w:t>
      </w:r>
      <w:r w:rsidRPr="00217E4B">
        <w:rPr>
          <w:sz w:val="28"/>
          <w:szCs w:val="28"/>
        </w:rPr>
        <w:t xml:space="preserve"> </w:t>
      </w:r>
      <w:r w:rsidR="00221F32">
        <w:rPr>
          <w:sz w:val="28"/>
          <w:szCs w:val="28"/>
        </w:rPr>
        <w:t>d</w:t>
      </w:r>
      <w:r w:rsidRPr="00217E4B">
        <w:rPr>
          <w:sz w:val="28"/>
          <w:szCs w:val="28"/>
        </w:rPr>
        <w:t xml:space="preserve">elle Regioni, nel 1967, la legge n. 48/1967 (sulle attribuzioni del Ministero del bilancio) prevedeva che, per l’esame dei problemi in materia di programmazione economica regionale, fosse necessario acquisire il parere di una Commissione consultiva interregionale. Si tratta, quindi, di un tema che percorre in profondità </w:t>
      </w:r>
      <w:r w:rsidR="00847A72">
        <w:rPr>
          <w:sz w:val="28"/>
          <w:szCs w:val="28"/>
        </w:rPr>
        <w:t xml:space="preserve">e da tempo </w:t>
      </w:r>
      <w:r w:rsidRPr="00217E4B">
        <w:rPr>
          <w:sz w:val="28"/>
          <w:szCs w:val="28"/>
        </w:rPr>
        <w:t>lo sviluppo del regionalismo italiano</w:t>
      </w:r>
      <w:r w:rsidR="00217E4B" w:rsidRPr="00493535">
        <w:rPr>
          <w:b/>
          <w:sz w:val="28"/>
          <w:szCs w:val="28"/>
        </w:rPr>
        <w:t>.</w:t>
      </w:r>
      <w:r w:rsidR="00217E4B">
        <w:rPr>
          <w:sz w:val="28"/>
          <w:szCs w:val="28"/>
        </w:rPr>
        <w:t xml:space="preserve"> </w:t>
      </w:r>
    </w:p>
    <w:p w14:paraId="514F98AF" w14:textId="77777777" w:rsidR="00217E4B" w:rsidRPr="00217E4B" w:rsidRDefault="00217E4B" w:rsidP="00217E4B">
      <w:pPr>
        <w:pStyle w:val="Paragrafoelenco"/>
        <w:ind w:left="0" w:right="-7"/>
        <w:jc w:val="both"/>
        <w:rPr>
          <w:sz w:val="28"/>
          <w:szCs w:val="28"/>
        </w:rPr>
      </w:pPr>
    </w:p>
    <w:p w14:paraId="75A14A70" w14:textId="5890FBAA" w:rsidR="00BA1242" w:rsidRPr="00217E4B" w:rsidRDefault="001E44DA" w:rsidP="00217E4B">
      <w:pPr>
        <w:pStyle w:val="Paragrafoelenco"/>
        <w:numPr>
          <w:ilvl w:val="0"/>
          <w:numId w:val="1"/>
        </w:numPr>
        <w:ind w:left="0" w:right="-7" w:firstLine="0"/>
        <w:jc w:val="both"/>
        <w:rPr>
          <w:sz w:val="28"/>
          <w:szCs w:val="28"/>
        </w:rPr>
      </w:pPr>
      <w:r w:rsidRPr="00217E4B">
        <w:rPr>
          <w:b/>
          <w:sz w:val="28"/>
          <w:szCs w:val="28"/>
        </w:rPr>
        <w:t xml:space="preserve">Lo sviluppo della normativa </w:t>
      </w:r>
      <w:r w:rsidR="00263214">
        <w:rPr>
          <w:b/>
          <w:sz w:val="28"/>
          <w:szCs w:val="28"/>
        </w:rPr>
        <w:t xml:space="preserve">sul </w:t>
      </w:r>
      <w:r w:rsidRPr="00217E4B">
        <w:rPr>
          <w:b/>
          <w:sz w:val="28"/>
          <w:szCs w:val="28"/>
        </w:rPr>
        <w:t>raccordo fra Stato, Regioni ed autonomie locali è stato impetuoso per tutti gli anni ’80 e ’90</w:t>
      </w:r>
      <w:r w:rsidRPr="008E04B0">
        <w:rPr>
          <w:sz w:val="28"/>
          <w:szCs w:val="28"/>
        </w:rPr>
        <w:t>. La legge n. 400/1988</w:t>
      </w:r>
      <w:r w:rsidR="00217E4B">
        <w:rPr>
          <w:sz w:val="28"/>
          <w:szCs w:val="28"/>
        </w:rPr>
        <w:t xml:space="preserve"> – il cui iter </w:t>
      </w:r>
      <w:r w:rsidR="00847A72">
        <w:rPr>
          <w:sz w:val="28"/>
          <w:szCs w:val="28"/>
        </w:rPr>
        <w:t>risaliva</w:t>
      </w:r>
      <w:r w:rsidR="00217E4B">
        <w:rPr>
          <w:sz w:val="28"/>
          <w:szCs w:val="28"/>
        </w:rPr>
        <w:t xml:space="preserve"> </w:t>
      </w:r>
      <w:r w:rsidR="00456B26">
        <w:rPr>
          <w:sz w:val="28"/>
          <w:szCs w:val="28"/>
        </w:rPr>
        <w:t>addirittura</w:t>
      </w:r>
      <w:r w:rsidR="00217E4B">
        <w:rPr>
          <w:sz w:val="28"/>
          <w:szCs w:val="28"/>
        </w:rPr>
        <w:t xml:space="preserve"> </w:t>
      </w:r>
      <w:r w:rsidR="00847A72">
        <w:rPr>
          <w:sz w:val="28"/>
          <w:szCs w:val="28"/>
        </w:rPr>
        <w:t>a</w:t>
      </w:r>
      <w:r w:rsidR="00217E4B">
        <w:rPr>
          <w:sz w:val="28"/>
          <w:szCs w:val="28"/>
        </w:rPr>
        <w:t>l 1982 col Governo Spadolini –</w:t>
      </w:r>
      <w:r w:rsidRPr="00217E4B">
        <w:rPr>
          <w:sz w:val="28"/>
          <w:szCs w:val="28"/>
        </w:rPr>
        <w:t xml:space="preserve"> </w:t>
      </w:r>
      <w:r w:rsidR="00217E4B">
        <w:rPr>
          <w:sz w:val="28"/>
          <w:szCs w:val="28"/>
        </w:rPr>
        <w:t>disponeva</w:t>
      </w:r>
      <w:r w:rsidRPr="00217E4B">
        <w:rPr>
          <w:sz w:val="28"/>
          <w:szCs w:val="28"/>
        </w:rPr>
        <w:t xml:space="preserve"> l'istituzione della Conferenza </w:t>
      </w:r>
      <w:r w:rsidR="00263214">
        <w:rPr>
          <w:sz w:val="28"/>
          <w:szCs w:val="28"/>
        </w:rPr>
        <w:t>Stato - Regioni</w:t>
      </w:r>
      <w:r w:rsidRPr="00217E4B">
        <w:rPr>
          <w:sz w:val="28"/>
          <w:szCs w:val="28"/>
        </w:rPr>
        <w:t xml:space="preserve">, con obbligo di convocazione, da parte del Presidente del </w:t>
      </w:r>
      <w:r w:rsidRPr="00217E4B">
        <w:rPr>
          <w:sz w:val="28"/>
          <w:szCs w:val="28"/>
        </w:rPr>
        <w:lastRenderedPageBreak/>
        <w:t xml:space="preserve">Consiglio dei ministri, almeno ogni sei mesi (art. 12). </w:t>
      </w:r>
      <w:r w:rsidR="00BA1242" w:rsidRPr="00217E4B">
        <w:rPr>
          <w:sz w:val="28"/>
          <w:szCs w:val="28"/>
        </w:rPr>
        <w:t>A seguito d</w:t>
      </w:r>
      <w:r w:rsidR="00263214">
        <w:rPr>
          <w:sz w:val="28"/>
          <w:szCs w:val="28"/>
        </w:rPr>
        <w:t>ella</w:t>
      </w:r>
      <w:r w:rsidR="00BA1242" w:rsidRPr="00217E4B">
        <w:rPr>
          <w:sz w:val="28"/>
          <w:szCs w:val="28"/>
        </w:rPr>
        <w:t xml:space="preserve"> delega attribuita al Governo dalla stessa legge n. 400/1988, con il d.lgs. n. 418/1989 si </w:t>
      </w:r>
      <w:r w:rsidR="00217E4B">
        <w:rPr>
          <w:sz w:val="28"/>
          <w:szCs w:val="28"/>
        </w:rPr>
        <w:t>dava</w:t>
      </w:r>
      <w:r w:rsidR="00BA1242" w:rsidRPr="00217E4B">
        <w:rPr>
          <w:sz w:val="28"/>
          <w:szCs w:val="28"/>
        </w:rPr>
        <w:t xml:space="preserve"> una prima sistemazione del tema, trasferendo alla Conferenza tutte le attribuzioni relative al raccordo fra Stato e Regioni, prima frazionate fra più organi bilaterali. Successivamente, negli anni ’90, si è istituita la Conferenza Stato-città</w:t>
      </w:r>
      <w:r w:rsidR="00217E4B">
        <w:rPr>
          <w:sz w:val="28"/>
          <w:szCs w:val="28"/>
        </w:rPr>
        <w:t xml:space="preserve"> (D.P.C.M. 2 luglio 1996)</w:t>
      </w:r>
      <w:r w:rsidR="00BA1242" w:rsidRPr="00217E4B">
        <w:rPr>
          <w:sz w:val="28"/>
          <w:szCs w:val="28"/>
        </w:rPr>
        <w:t xml:space="preserve"> e</w:t>
      </w:r>
      <w:r w:rsidR="00217E4B">
        <w:rPr>
          <w:sz w:val="28"/>
          <w:szCs w:val="28"/>
        </w:rPr>
        <w:t xml:space="preserve">, infine, </w:t>
      </w:r>
      <w:r w:rsidR="00217E4B" w:rsidRPr="00217E4B">
        <w:rPr>
          <w:b/>
          <w:sz w:val="28"/>
          <w:szCs w:val="28"/>
        </w:rPr>
        <w:t>l’assetto del “sistema”</w:t>
      </w:r>
      <w:r w:rsidR="00697491">
        <w:rPr>
          <w:b/>
          <w:sz w:val="28"/>
          <w:szCs w:val="28"/>
        </w:rPr>
        <w:t xml:space="preserve"> </w:t>
      </w:r>
      <w:r w:rsidR="00217E4B" w:rsidRPr="00217E4B">
        <w:rPr>
          <w:b/>
          <w:sz w:val="28"/>
          <w:szCs w:val="28"/>
        </w:rPr>
        <w:t>è stato globalmente disciplinato dal d.lgs. 281/1997, ancora in vigore.</w:t>
      </w:r>
      <w:r w:rsidR="00217E4B">
        <w:rPr>
          <w:sz w:val="28"/>
          <w:szCs w:val="28"/>
        </w:rPr>
        <w:t xml:space="preserve"> Di rilievo è l’istituzione della</w:t>
      </w:r>
      <w:r w:rsidR="00BA1242" w:rsidRPr="00217E4B">
        <w:rPr>
          <w:sz w:val="28"/>
          <w:szCs w:val="28"/>
        </w:rPr>
        <w:t xml:space="preserve"> Conferenza unificata per l’esame delle materie e l’esercizio dei compiti di interesse comune d</w:t>
      </w:r>
      <w:r w:rsidR="00847A72">
        <w:rPr>
          <w:sz w:val="28"/>
          <w:szCs w:val="28"/>
        </w:rPr>
        <w:t>i</w:t>
      </w:r>
      <w:r w:rsidR="00BA1242" w:rsidRPr="00217E4B">
        <w:rPr>
          <w:sz w:val="28"/>
          <w:szCs w:val="28"/>
        </w:rPr>
        <w:t xml:space="preserve"> regioni</w:t>
      </w:r>
      <w:r w:rsidR="00847A72">
        <w:rPr>
          <w:sz w:val="28"/>
          <w:szCs w:val="28"/>
        </w:rPr>
        <w:t xml:space="preserve"> ed enti locali</w:t>
      </w:r>
      <w:r w:rsidR="00BA1242" w:rsidRPr="00217E4B">
        <w:rPr>
          <w:sz w:val="28"/>
          <w:szCs w:val="28"/>
        </w:rPr>
        <w:t>.</w:t>
      </w:r>
      <w:r w:rsidR="00957201" w:rsidRPr="00217E4B">
        <w:rPr>
          <w:sz w:val="28"/>
          <w:szCs w:val="28"/>
        </w:rPr>
        <w:t xml:space="preserve"> Parallelamente, si è consolidato l’associazionismo fra le Regioni (la Conferenza delle Regioni e </w:t>
      </w:r>
      <w:r w:rsidR="00221F32">
        <w:rPr>
          <w:sz w:val="28"/>
          <w:szCs w:val="28"/>
        </w:rPr>
        <w:t xml:space="preserve">delle </w:t>
      </w:r>
      <w:r w:rsidR="00957201" w:rsidRPr="00217E4B">
        <w:rPr>
          <w:sz w:val="28"/>
          <w:szCs w:val="28"/>
        </w:rPr>
        <w:t>Province autonome risale al 1981</w:t>
      </w:r>
      <w:r w:rsidR="00217E4B">
        <w:rPr>
          <w:sz w:val="28"/>
          <w:szCs w:val="28"/>
        </w:rPr>
        <w:t>,</w:t>
      </w:r>
      <w:r w:rsidR="00957201" w:rsidRPr="00217E4B">
        <w:rPr>
          <w:sz w:val="28"/>
          <w:szCs w:val="28"/>
        </w:rPr>
        <w:t xml:space="preserve"> mentre l’associazionismo comunale risale al 1901 e quello provinciale</w:t>
      </w:r>
      <w:r w:rsidR="00263214">
        <w:rPr>
          <w:sz w:val="28"/>
          <w:szCs w:val="28"/>
        </w:rPr>
        <w:t xml:space="preserve"> al</w:t>
      </w:r>
      <w:r w:rsidR="00957201" w:rsidRPr="00217E4B">
        <w:rPr>
          <w:sz w:val="28"/>
          <w:szCs w:val="28"/>
        </w:rPr>
        <w:t xml:space="preserve"> 1908</w:t>
      </w:r>
      <w:r w:rsidR="00263214">
        <w:rPr>
          <w:sz w:val="28"/>
          <w:szCs w:val="28"/>
        </w:rPr>
        <w:t>)</w:t>
      </w:r>
      <w:r w:rsidR="00217E4B">
        <w:rPr>
          <w:sz w:val="28"/>
          <w:szCs w:val="28"/>
        </w:rPr>
        <w:t xml:space="preserve">. </w:t>
      </w:r>
      <w:r w:rsidR="00957201" w:rsidRPr="00217E4B">
        <w:rPr>
          <w:sz w:val="28"/>
          <w:szCs w:val="28"/>
        </w:rPr>
        <w:t xml:space="preserve">  </w:t>
      </w:r>
    </w:p>
    <w:p w14:paraId="47B1A33F" w14:textId="77777777" w:rsidR="00BA1242" w:rsidRPr="008E04B0" w:rsidRDefault="00BA1242" w:rsidP="008E04B0">
      <w:pPr>
        <w:pStyle w:val="Paragrafoelenco"/>
        <w:ind w:left="0" w:right="-7"/>
        <w:jc w:val="both"/>
        <w:rPr>
          <w:rFonts w:ascii="Times" w:hAnsi="Times"/>
          <w:sz w:val="28"/>
          <w:szCs w:val="28"/>
        </w:rPr>
      </w:pPr>
    </w:p>
    <w:p w14:paraId="04D08BC5" w14:textId="77777777" w:rsidR="00BA1242" w:rsidRPr="008E04B0" w:rsidRDefault="00847A72" w:rsidP="008E04B0">
      <w:pPr>
        <w:pStyle w:val="Paragrafoelenco"/>
        <w:numPr>
          <w:ilvl w:val="0"/>
          <w:numId w:val="1"/>
        </w:numPr>
        <w:ind w:left="0" w:right="-7" w:firstLine="0"/>
        <w:jc w:val="both"/>
        <w:rPr>
          <w:sz w:val="28"/>
          <w:szCs w:val="28"/>
        </w:rPr>
      </w:pPr>
      <w:r>
        <w:rPr>
          <w:b/>
          <w:sz w:val="28"/>
          <w:szCs w:val="28"/>
        </w:rPr>
        <w:t>L</w:t>
      </w:r>
      <w:r w:rsidR="00BA1242" w:rsidRPr="00217E4B">
        <w:rPr>
          <w:b/>
          <w:sz w:val="28"/>
          <w:szCs w:val="28"/>
        </w:rPr>
        <w:t xml:space="preserve">a riforma del Titolo V </w:t>
      </w:r>
      <w:r w:rsidR="00493535">
        <w:rPr>
          <w:b/>
          <w:sz w:val="28"/>
          <w:szCs w:val="28"/>
        </w:rPr>
        <w:t xml:space="preserve">della Costituzione </w:t>
      </w:r>
      <w:r w:rsidR="00BA1242" w:rsidRPr="00217E4B">
        <w:rPr>
          <w:b/>
          <w:sz w:val="28"/>
          <w:szCs w:val="28"/>
        </w:rPr>
        <w:t xml:space="preserve">non è </w:t>
      </w:r>
      <w:r>
        <w:rPr>
          <w:b/>
          <w:sz w:val="28"/>
          <w:szCs w:val="28"/>
        </w:rPr>
        <w:t xml:space="preserve">tuttavia </w:t>
      </w:r>
      <w:r w:rsidR="00BA1242" w:rsidRPr="00217E4B">
        <w:rPr>
          <w:b/>
          <w:sz w:val="28"/>
          <w:szCs w:val="28"/>
        </w:rPr>
        <w:t xml:space="preserve">intervenuta sul tema. </w:t>
      </w:r>
      <w:r w:rsidR="00BA1242" w:rsidRPr="00263214">
        <w:rPr>
          <w:sz w:val="28"/>
          <w:szCs w:val="28"/>
        </w:rPr>
        <w:t xml:space="preserve">Ciò è considerato, pressoché unanimemente, uno dei </w:t>
      </w:r>
      <w:r w:rsidR="00263214" w:rsidRPr="00263214">
        <w:rPr>
          <w:sz w:val="28"/>
          <w:szCs w:val="28"/>
        </w:rPr>
        <w:t xml:space="preserve">suoi </w:t>
      </w:r>
      <w:r w:rsidR="00BA1242" w:rsidRPr="00263214">
        <w:rPr>
          <w:sz w:val="28"/>
          <w:szCs w:val="28"/>
        </w:rPr>
        <w:t>principali punti deboli.</w:t>
      </w:r>
      <w:r w:rsidR="00D02272" w:rsidRPr="00263214">
        <w:rPr>
          <w:sz w:val="28"/>
          <w:szCs w:val="28"/>
        </w:rPr>
        <w:t xml:space="preserve"> </w:t>
      </w:r>
      <w:r w:rsidR="00BA1242" w:rsidRPr="00263214">
        <w:rPr>
          <w:sz w:val="28"/>
          <w:szCs w:val="28"/>
        </w:rPr>
        <w:t>A</w:t>
      </w:r>
      <w:r w:rsidR="00BA1242" w:rsidRPr="008E04B0">
        <w:rPr>
          <w:sz w:val="28"/>
          <w:szCs w:val="28"/>
        </w:rPr>
        <w:t xml:space="preserve"> fronte di una accresciuta autonomia legislativa, amministrativa e finanziaria delle Regioni, nonché delle funzioni attribuite agli enti locali, </w:t>
      </w:r>
      <w:r w:rsidR="00BA1242" w:rsidRPr="00263214">
        <w:rPr>
          <w:sz w:val="28"/>
          <w:szCs w:val="28"/>
        </w:rPr>
        <w:t>non si è ritenuto di dover dedicare disposizioni costituzionali al tema dei “raccordi” fra centro e periferia.</w:t>
      </w:r>
      <w:r w:rsidR="00BA1242" w:rsidRPr="008E04B0">
        <w:rPr>
          <w:sz w:val="28"/>
          <w:szCs w:val="28"/>
        </w:rPr>
        <w:t xml:space="preserve"> Si </w:t>
      </w:r>
      <w:r w:rsidR="00493535">
        <w:rPr>
          <w:sz w:val="28"/>
          <w:szCs w:val="28"/>
        </w:rPr>
        <w:t>riteneva</w:t>
      </w:r>
      <w:r w:rsidR="00BA1242" w:rsidRPr="008E04B0">
        <w:rPr>
          <w:sz w:val="28"/>
          <w:szCs w:val="28"/>
        </w:rPr>
        <w:t xml:space="preserve"> che </w:t>
      </w:r>
      <w:r w:rsidR="00C56B67">
        <w:rPr>
          <w:sz w:val="28"/>
          <w:szCs w:val="28"/>
        </w:rPr>
        <w:t>il raccordo dovesse avvenire</w:t>
      </w:r>
      <w:r w:rsidR="00BA1242" w:rsidRPr="008E04B0">
        <w:rPr>
          <w:sz w:val="28"/>
          <w:szCs w:val="28"/>
        </w:rPr>
        <w:t xml:space="preserve"> </w:t>
      </w:r>
      <w:r w:rsidR="00493535">
        <w:rPr>
          <w:sz w:val="28"/>
          <w:szCs w:val="28"/>
        </w:rPr>
        <w:t xml:space="preserve">principalmente </w:t>
      </w:r>
      <w:r w:rsidR="00BA1242" w:rsidRPr="008E04B0">
        <w:rPr>
          <w:sz w:val="28"/>
          <w:szCs w:val="28"/>
        </w:rPr>
        <w:t>in sede</w:t>
      </w:r>
      <w:r w:rsidR="00217E4B">
        <w:rPr>
          <w:sz w:val="28"/>
          <w:szCs w:val="28"/>
        </w:rPr>
        <w:t xml:space="preserve"> parlamentare</w:t>
      </w:r>
      <w:r w:rsidR="00493535">
        <w:rPr>
          <w:sz w:val="28"/>
          <w:szCs w:val="28"/>
        </w:rPr>
        <w:t>, sebbene nessuno dubitasse che le Conferenze sarebbe</w:t>
      </w:r>
      <w:r w:rsidR="00264369">
        <w:rPr>
          <w:sz w:val="28"/>
          <w:szCs w:val="28"/>
        </w:rPr>
        <w:t>ro</w:t>
      </w:r>
      <w:r w:rsidR="00493535">
        <w:rPr>
          <w:sz w:val="28"/>
          <w:szCs w:val="28"/>
        </w:rPr>
        <w:t xml:space="preserve"> comunque rimaste.</w:t>
      </w:r>
      <w:r w:rsidR="00BA1242" w:rsidRPr="008E04B0">
        <w:rPr>
          <w:sz w:val="28"/>
          <w:szCs w:val="28"/>
        </w:rPr>
        <w:t xml:space="preserve"> </w:t>
      </w:r>
      <w:r>
        <w:rPr>
          <w:sz w:val="28"/>
          <w:szCs w:val="28"/>
        </w:rPr>
        <w:t>Peraltro c</w:t>
      </w:r>
      <w:r w:rsidR="00BA1242" w:rsidRPr="008E04B0">
        <w:rPr>
          <w:sz w:val="28"/>
          <w:szCs w:val="28"/>
        </w:rPr>
        <w:t xml:space="preserve">iò non è avvenuto e tutti i successivi tentativi di riforma della Parte II della Costituzione </w:t>
      </w:r>
      <w:r w:rsidR="00217E4B">
        <w:rPr>
          <w:sz w:val="28"/>
          <w:szCs w:val="28"/>
        </w:rPr>
        <w:t>sono</w:t>
      </w:r>
      <w:r w:rsidR="00BA1242" w:rsidRPr="008E04B0">
        <w:rPr>
          <w:sz w:val="28"/>
          <w:szCs w:val="28"/>
        </w:rPr>
        <w:t xml:space="preserve"> falliti</w:t>
      </w:r>
      <w:r w:rsidR="00217E4B">
        <w:rPr>
          <w:sz w:val="28"/>
          <w:szCs w:val="28"/>
        </w:rPr>
        <w:t xml:space="preserve">. Tutti, però, dedicavano uno spazio – più o meno ampio – alla disciplina costituzionale delle Conferenze. </w:t>
      </w:r>
    </w:p>
    <w:p w14:paraId="4F8EBCE9" w14:textId="77777777" w:rsidR="00BA1242" w:rsidRPr="008E04B0" w:rsidRDefault="00BA1242" w:rsidP="008E04B0">
      <w:pPr>
        <w:pStyle w:val="Paragrafoelenco"/>
        <w:jc w:val="both"/>
        <w:rPr>
          <w:sz w:val="28"/>
          <w:szCs w:val="28"/>
        </w:rPr>
      </w:pPr>
    </w:p>
    <w:p w14:paraId="31F22743" w14:textId="3DF69DCD" w:rsidR="007F5C93" w:rsidRPr="00264369" w:rsidRDefault="00847A72" w:rsidP="00F03DF4">
      <w:pPr>
        <w:pStyle w:val="Paragrafoelenco"/>
        <w:numPr>
          <w:ilvl w:val="0"/>
          <w:numId w:val="1"/>
        </w:numPr>
        <w:ind w:left="0" w:right="-7" w:firstLine="0"/>
        <w:jc w:val="both"/>
        <w:rPr>
          <w:sz w:val="28"/>
          <w:szCs w:val="28"/>
        </w:rPr>
      </w:pPr>
      <w:r>
        <w:rPr>
          <w:b/>
          <w:sz w:val="28"/>
          <w:szCs w:val="28"/>
        </w:rPr>
        <w:t>O</w:t>
      </w:r>
      <w:r w:rsidR="00BA1242" w:rsidRPr="00264369">
        <w:rPr>
          <w:b/>
          <w:sz w:val="28"/>
          <w:szCs w:val="28"/>
        </w:rPr>
        <w:t xml:space="preserve">ggi l’assetto del sistema delle Conferenze è </w:t>
      </w:r>
      <w:r>
        <w:rPr>
          <w:b/>
          <w:sz w:val="28"/>
          <w:szCs w:val="28"/>
        </w:rPr>
        <w:t xml:space="preserve">dunque </w:t>
      </w:r>
      <w:r w:rsidR="00BA1242" w:rsidRPr="00264369">
        <w:rPr>
          <w:b/>
          <w:sz w:val="28"/>
          <w:szCs w:val="28"/>
        </w:rPr>
        <w:t>delineato da fonti legislative precedenti alla riforma del Titolo V Cost., con alcuni evidenti disallineamenti ed anacronismi.</w:t>
      </w:r>
      <w:r w:rsidR="00217E4B" w:rsidRPr="00264369">
        <w:rPr>
          <w:sz w:val="28"/>
          <w:szCs w:val="28"/>
        </w:rPr>
        <w:t xml:space="preserve"> Le</w:t>
      </w:r>
      <w:r w:rsidR="00BA1242" w:rsidRPr="00264369">
        <w:rPr>
          <w:sz w:val="28"/>
          <w:szCs w:val="28"/>
        </w:rPr>
        <w:t xml:space="preserve"> Conferenze hanno</w:t>
      </w:r>
      <w:r w:rsidR="00C56B67">
        <w:rPr>
          <w:sz w:val="28"/>
          <w:szCs w:val="28"/>
        </w:rPr>
        <w:t xml:space="preserve"> </w:t>
      </w:r>
      <w:r w:rsidR="00BA1242" w:rsidRPr="00264369">
        <w:rPr>
          <w:sz w:val="28"/>
          <w:szCs w:val="28"/>
        </w:rPr>
        <w:t>sviluppato proprie prassi organizzative e funziona</w:t>
      </w:r>
      <w:r w:rsidR="00456B26" w:rsidRPr="00264369">
        <w:rPr>
          <w:sz w:val="28"/>
          <w:szCs w:val="28"/>
        </w:rPr>
        <w:t>l</w:t>
      </w:r>
      <w:r w:rsidR="00BA1242" w:rsidRPr="00264369">
        <w:rPr>
          <w:sz w:val="28"/>
          <w:szCs w:val="28"/>
        </w:rPr>
        <w:t xml:space="preserve">i. Soprattutto, </w:t>
      </w:r>
      <w:r w:rsidR="00BA1242" w:rsidRPr="00263214">
        <w:rPr>
          <w:sz w:val="28"/>
          <w:szCs w:val="28"/>
        </w:rPr>
        <w:t xml:space="preserve">le attribuzioni delle Conferenze e le modalità con le quali esse si inseriscono all’interno dei processi decisionali, sia legislativi sia amministrativi, sono </w:t>
      </w:r>
      <w:r w:rsidR="00217E4B" w:rsidRPr="00263214">
        <w:rPr>
          <w:sz w:val="28"/>
          <w:szCs w:val="28"/>
        </w:rPr>
        <w:t>stati</w:t>
      </w:r>
      <w:r w:rsidR="00BA1242" w:rsidRPr="00263214">
        <w:rPr>
          <w:sz w:val="28"/>
          <w:szCs w:val="28"/>
        </w:rPr>
        <w:t xml:space="preserve"> definiti</w:t>
      </w:r>
      <w:r w:rsidR="00217E4B" w:rsidRPr="00263214">
        <w:rPr>
          <w:sz w:val="28"/>
          <w:szCs w:val="28"/>
        </w:rPr>
        <w:t>, in aspetti</w:t>
      </w:r>
      <w:r w:rsidR="00493535" w:rsidRPr="00263214">
        <w:rPr>
          <w:sz w:val="28"/>
          <w:szCs w:val="28"/>
        </w:rPr>
        <w:t xml:space="preserve"> importanti</w:t>
      </w:r>
      <w:r w:rsidR="00217E4B" w:rsidRPr="00263214">
        <w:rPr>
          <w:sz w:val="28"/>
          <w:szCs w:val="28"/>
        </w:rPr>
        <w:t xml:space="preserve">, </w:t>
      </w:r>
      <w:r w:rsidR="00BA1242" w:rsidRPr="00263214">
        <w:rPr>
          <w:sz w:val="28"/>
          <w:szCs w:val="28"/>
        </w:rPr>
        <w:t>dalla</w:t>
      </w:r>
      <w:r w:rsidR="00BA1242" w:rsidRPr="00264369">
        <w:rPr>
          <w:b/>
          <w:sz w:val="28"/>
          <w:szCs w:val="28"/>
        </w:rPr>
        <w:t xml:space="preserve"> Corte costituzionale</w:t>
      </w:r>
      <w:r w:rsidR="00BA1242" w:rsidRPr="00264369">
        <w:rPr>
          <w:sz w:val="28"/>
          <w:szCs w:val="28"/>
        </w:rPr>
        <w:t>. È la</w:t>
      </w:r>
      <w:r w:rsidR="007F5C93" w:rsidRPr="00264369">
        <w:rPr>
          <w:sz w:val="28"/>
          <w:szCs w:val="28"/>
        </w:rPr>
        <w:t xml:space="preserve"> </w:t>
      </w:r>
      <w:r w:rsidR="00BA1242" w:rsidRPr="00264369">
        <w:rPr>
          <w:sz w:val="28"/>
          <w:szCs w:val="28"/>
        </w:rPr>
        <w:t>giurisprudenza della Corte costituzionale</w:t>
      </w:r>
      <w:r w:rsidR="007F5C93" w:rsidRPr="00264369">
        <w:rPr>
          <w:sz w:val="28"/>
          <w:szCs w:val="28"/>
        </w:rPr>
        <w:t xml:space="preserve"> che definisce le Conferenze come il </w:t>
      </w:r>
      <w:r w:rsidR="007F5C93" w:rsidRPr="00263214">
        <w:rPr>
          <w:sz w:val="28"/>
          <w:szCs w:val="28"/>
        </w:rPr>
        <w:t>luogo</w:t>
      </w:r>
      <w:r w:rsidR="00217E4B" w:rsidRPr="00263214">
        <w:rPr>
          <w:sz w:val="28"/>
          <w:szCs w:val="28"/>
        </w:rPr>
        <w:t xml:space="preserve"> costituzionale</w:t>
      </w:r>
      <w:r w:rsidR="007F5C93" w:rsidRPr="00263214">
        <w:rPr>
          <w:sz w:val="28"/>
          <w:szCs w:val="28"/>
        </w:rPr>
        <w:t xml:space="preserve"> in cui </w:t>
      </w:r>
      <w:r w:rsidR="007F5C93" w:rsidRPr="00263214">
        <w:rPr>
          <w:rFonts w:ascii="Times" w:hAnsi="Times"/>
          <w:sz w:val="28"/>
          <w:szCs w:val="28"/>
        </w:rPr>
        <w:t>«</w:t>
      </w:r>
      <w:r w:rsidR="007F5C93" w:rsidRPr="00263214">
        <w:rPr>
          <w:sz w:val="28"/>
          <w:szCs w:val="28"/>
        </w:rPr>
        <w:t>si sviluppa il confronto tra i due grandi sistemi ordinamentali della Repubblica, in esito al quale si individuano soluzioni concordate</w:t>
      </w:r>
      <w:r w:rsidR="007F5C93" w:rsidRPr="00263214">
        <w:rPr>
          <w:rFonts w:ascii="Times" w:hAnsi="Times"/>
          <w:sz w:val="28"/>
          <w:szCs w:val="28"/>
        </w:rPr>
        <w:t>»</w:t>
      </w:r>
      <w:r w:rsidR="007F5C93" w:rsidRPr="00263214">
        <w:rPr>
          <w:sz w:val="28"/>
          <w:szCs w:val="28"/>
        </w:rPr>
        <w:t xml:space="preserve"> (</w:t>
      </w:r>
      <w:proofErr w:type="spellStart"/>
      <w:r w:rsidR="007F5C93" w:rsidRPr="00263214">
        <w:rPr>
          <w:sz w:val="28"/>
          <w:szCs w:val="28"/>
        </w:rPr>
        <w:t>C.cost</w:t>
      </w:r>
      <w:proofErr w:type="spellEnd"/>
      <w:r w:rsidR="007F5C93" w:rsidRPr="00263214">
        <w:rPr>
          <w:sz w:val="28"/>
          <w:szCs w:val="28"/>
        </w:rPr>
        <w:t xml:space="preserve">. </w:t>
      </w:r>
      <w:r w:rsidR="00264369" w:rsidRPr="00263214">
        <w:rPr>
          <w:sz w:val="28"/>
          <w:szCs w:val="28"/>
        </w:rPr>
        <w:t xml:space="preserve">n. </w:t>
      </w:r>
      <w:r w:rsidR="007F5C93" w:rsidRPr="00263214">
        <w:rPr>
          <w:sz w:val="28"/>
          <w:szCs w:val="28"/>
        </w:rPr>
        <w:t xml:space="preserve">31/2006) alla luce del principio </w:t>
      </w:r>
      <w:r w:rsidR="00456B26" w:rsidRPr="00263214">
        <w:rPr>
          <w:sz w:val="28"/>
          <w:szCs w:val="28"/>
        </w:rPr>
        <w:t xml:space="preserve">costituzionale </w:t>
      </w:r>
      <w:r w:rsidR="007F5C93" w:rsidRPr="00263214">
        <w:rPr>
          <w:sz w:val="28"/>
          <w:szCs w:val="28"/>
        </w:rPr>
        <w:t>di</w:t>
      </w:r>
      <w:r w:rsidR="007F5C93" w:rsidRPr="00264369">
        <w:rPr>
          <w:b/>
          <w:sz w:val="28"/>
          <w:szCs w:val="28"/>
        </w:rPr>
        <w:t xml:space="preserve"> leale collaborazione</w:t>
      </w:r>
      <w:r w:rsidR="007F5C93" w:rsidRPr="00264369">
        <w:rPr>
          <w:sz w:val="28"/>
          <w:szCs w:val="28"/>
        </w:rPr>
        <w:t>. La lettura del testo costituzionale</w:t>
      </w:r>
      <w:r w:rsidR="00217E4B" w:rsidRPr="00264369">
        <w:rPr>
          <w:sz w:val="28"/>
          <w:szCs w:val="28"/>
        </w:rPr>
        <w:t xml:space="preserve">, </w:t>
      </w:r>
      <w:r w:rsidR="007F5C93" w:rsidRPr="00264369">
        <w:rPr>
          <w:sz w:val="28"/>
          <w:szCs w:val="28"/>
        </w:rPr>
        <w:t>integrat</w:t>
      </w:r>
      <w:r w:rsidR="00217E4B" w:rsidRPr="00264369">
        <w:rPr>
          <w:sz w:val="28"/>
          <w:szCs w:val="28"/>
        </w:rPr>
        <w:t>o</w:t>
      </w:r>
      <w:r w:rsidR="007F5C93" w:rsidRPr="00264369">
        <w:rPr>
          <w:sz w:val="28"/>
          <w:szCs w:val="28"/>
        </w:rPr>
        <w:t xml:space="preserve"> dalla conoscenza approfondita delle decisioni della Corte</w:t>
      </w:r>
      <w:r w:rsidR="00217E4B" w:rsidRPr="00264369">
        <w:rPr>
          <w:sz w:val="28"/>
          <w:szCs w:val="28"/>
        </w:rPr>
        <w:t>,</w:t>
      </w:r>
      <w:r w:rsidR="007F5C93" w:rsidRPr="00264369">
        <w:rPr>
          <w:sz w:val="28"/>
          <w:szCs w:val="28"/>
        </w:rPr>
        <w:t xml:space="preserve"> </w:t>
      </w:r>
      <w:r w:rsidR="00217E4B" w:rsidRPr="00264369">
        <w:rPr>
          <w:sz w:val="28"/>
          <w:szCs w:val="28"/>
        </w:rPr>
        <w:t xml:space="preserve">e le fonti legislative </w:t>
      </w:r>
      <w:r w:rsidR="00456B26" w:rsidRPr="00264369">
        <w:rPr>
          <w:sz w:val="28"/>
          <w:szCs w:val="28"/>
        </w:rPr>
        <w:t>definiscono il “volto” di</w:t>
      </w:r>
      <w:r w:rsidR="00217E4B" w:rsidRPr="00264369">
        <w:rPr>
          <w:sz w:val="28"/>
          <w:szCs w:val="28"/>
        </w:rPr>
        <w:t xml:space="preserve"> tutti </w:t>
      </w:r>
      <w:r w:rsidR="007F5C93" w:rsidRPr="00264369">
        <w:rPr>
          <w:sz w:val="28"/>
          <w:szCs w:val="28"/>
        </w:rPr>
        <w:t xml:space="preserve">gli istituti di raccordo, le tempistiche, le forme per superare gli eventuali stalli, ecc. </w:t>
      </w:r>
      <w:r w:rsidR="008E04B0" w:rsidRPr="00264369">
        <w:rPr>
          <w:sz w:val="28"/>
          <w:szCs w:val="28"/>
        </w:rPr>
        <w:t xml:space="preserve">È una </w:t>
      </w:r>
      <w:r w:rsidR="008E04B0" w:rsidRPr="00264369">
        <w:rPr>
          <w:i/>
          <w:sz w:val="28"/>
          <w:szCs w:val="28"/>
        </w:rPr>
        <w:t xml:space="preserve">disciplina delle Conferenze </w:t>
      </w:r>
      <w:r w:rsidR="008E04B0" w:rsidRPr="00264369">
        <w:rPr>
          <w:sz w:val="28"/>
          <w:szCs w:val="28"/>
        </w:rPr>
        <w:t xml:space="preserve">contenuta in fonti </w:t>
      </w:r>
      <w:r w:rsidR="00217E4B" w:rsidRPr="00264369">
        <w:rPr>
          <w:sz w:val="28"/>
          <w:szCs w:val="28"/>
        </w:rPr>
        <w:t>molto diverse e frammentate, difficili da conoscere ed applicare</w:t>
      </w:r>
      <w:r w:rsidR="008E04B0" w:rsidRPr="00264369">
        <w:rPr>
          <w:sz w:val="28"/>
          <w:szCs w:val="28"/>
        </w:rPr>
        <w:t xml:space="preserve">. </w:t>
      </w:r>
      <w:r w:rsidR="00E07440">
        <w:rPr>
          <w:sz w:val="28"/>
          <w:szCs w:val="28"/>
        </w:rPr>
        <w:t>Si pensi</w:t>
      </w:r>
      <w:r w:rsidR="007F5C93" w:rsidRPr="00264369">
        <w:rPr>
          <w:sz w:val="28"/>
          <w:szCs w:val="28"/>
        </w:rPr>
        <w:t xml:space="preserve"> – mi limiterò a questo solo esempio – alla giurisprudenza costituzionale che ha esteso l’applicazione del principio di leale collaborazione anche all’interno del procedimento legislativo e, in particolare, alla delegazione legislativa (</w:t>
      </w:r>
      <w:proofErr w:type="spellStart"/>
      <w:r w:rsidR="007F5C93" w:rsidRPr="00264369">
        <w:rPr>
          <w:sz w:val="28"/>
          <w:szCs w:val="28"/>
        </w:rPr>
        <w:t>C.cost</w:t>
      </w:r>
      <w:proofErr w:type="spellEnd"/>
      <w:r w:rsidR="007F5C93" w:rsidRPr="00264369">
        <w:rPr>
          <w:sz w:val="28"/>
          <w:szCs w:val="28"/>
        </w:rPr>
        <w:t xml:space="preserve">. 251/2016). </w:t>
      </w:r>
      <w:r w:rsidR="00E07440">
        <w:rPr>
          <w:sz w:val="28"/>
          <w:szCs w:val="28"/>
        </w:rPr>
        <w:t>L</w:t>
      </w:r>
      <w:r w:rsidR="00D02272" w:rsidRPr="00264369">
        <w:rPr>
          <w:b/>
          <w:sz w:val="28"/>
          <w:szCs w:val="28"/>
        </w:rPr>
        <w:t>a Conferenza</w:t>
      </w:r>
      <w:r w:rsidR="004710DE" w:rsidRPr="00264369">
        <w:rPr>
          <w:b/>
          <w:sz w:val="28"/>
          <w:szCs w:val="28"/>
        </w:rPr>
        <w:t xml:space="preserve">, come istituzione, </w:t>
      </w:r>
      <w:r w:rsidR="00D02272" w:rsidRPr="00264369">
        <w:rPr>
          <w:b/>
          <w:sz w:val="28"/>
          <w:szCs w:val="28"/>
        </w:rPr>
        <w:t xml:space="preserve">deve confrontarsi con i nuovi </w:t>
      </w:r>
      <w:r w:rsidR="00D02272" w:rsidRPr="00264369">
        <w:rPr>
          <w:b/>
          <w:sz w:val="28"/>
          <w:szCs w:val="28"/>
        </w:rPr>
        <w:lastRenderedPageBreak/>
        <w:t>assetti del sistema delle fonti</w:t>
      </w:r>
      <w:r w:rsidR="004710DE" w:rsidRPr="00264369">
        <w:rPr>
          <w:b/>
          <w:sz w:val="28"/>
          <w:szCs w:val="28"/>
        </w:rPr>
        <w:t xml:space="preserve"> e della forma di governo</w:t>
      </w:r>
      <w:r w:rsidR="00D02272" w:rsidRPr="00264369">
        <w:rPr>
          <w:b/>
          <w:sz w:val="28"/>
          <w:szCs w:val="28"/>
        </w:rPr>
        <w:t>:</w:t>
      </w:r>
      <w:r w:rsidR="00D02272" w:rsidRPr="00264369">
        <w:rPr>
          <w:sz w:val="28"/>
          <w:szCs w:val="28"/>
        </w:rPr>
        <w:t xml:space="preserve"> </w:t>
      </w:r>
      <w:r w:rsidR="00C56B67">
        <w:rPr>
          <w:sz w:val="28"/>
          <w:szCs w:val="28"/>
        </w:rPr>
        <w:t>occorre valutare se</w:t>
      </w:r>
      <w:r w:rsidR="00D02272" w:rsidRPr="00264369">
        <w:rPr>
          <w:sz w:val="28"/>
          <w:szCs w:val="28"/>
        </w:rPr>
        <w:t xml:space="preserve"> istituti come il parere, l’accordo o l’intesa</w:t>
      </w:r>
      <w:r w:rsidR="00493535" w:rsidRPr="00264369">
        <w:rPr>
          <w:sz w:val="28"/>
          <w:szCs w:val="28"/>
        </w:rPr>
        <w:t xml:space="preserve"> (oggi disciplinati dal d.lgs. n. 281/1997)</w:t>
      </w:r>
      <w:r w:rsidR="00D02272" w:rsidRPr="00264369">
        <w:rPr>
          <w:sz w:val="28"/>
          <w:szCs w:val="28"/>
        </w:rPr>
        <w:t xml:space="preserve"> </w:t>
      </w:r>
      <w:r w:rsidR="00C56B67">
        <w:rPr>
          <w:sz w:val="28"/>
          <w:szCs w:val="28"/>
        </w:rPr>
        <w:t>abbiano</w:t>
      </w:r>
      <w:r w:rsidR="00D02272" w:rsidRPr="00264369">
        <w:rPr>
          <w:sz w:val="28"/>
          <w:szCs w:val="28"/>
        </w:rPr>
        <w:t xml:space="preserve"> bisogno di una nuova messa a fuoco, più aderente </w:t>
      </w:r>
      <w:r w:rsidR="00B627D8">
        <w:rPr>
          <w:sz w:val="28"/>
          <w:szCs w:val="28"/>
        </w:rPr>
        <w:t>al</w:t>
      </w:r>
      <w:r w:rsidR="004710DE" w:rsidRPr="00264369">
        <w:rPr>
          <w:sz w:val="28"/>
          <w:szCs w:val="28"/>
        </w:rPr>
        <w:t>le trasformazioni del regionalismo</w:t>
      </w:r>
      <w:r w:rsidR="00CF2A0A" w:rsidRPr="00264369">
        <w:rPr>
          <w:sz w:val="28"/>
          <w:szCs w:val="28"/>
        </w:rPr>
        <w:t xml:space="preserve"> italiano</w:t>
      </w:r>
      <w:r w:rsidR="004710DE" w:rsidRPr="00264369">
        <w:rPr>
          <w:sz w:val="28"/>
          <w:szCs w:val="28"/>
        </w:rPr>
        <w:t>.</w:t>
      </w:r>
      <w:r w:rsidR="00CF2A0A" w:rsidRPr="00264369">
        <w:rPr>
          <w:sz w:val="28"/>
          <w:szCs w:val="28"/>
        </w:rPr>
        <w:t xml:space="preserve"> </w:t>
      </w:r>
    </w:p>
    <w:p w14:paraId="31D90F68" w14:textId="77777777" w:rsidR="007F5C93" w:rsidRPr="008E04B0" w:rsidRDefault="007F5C93" w:rsidP="008E04B0">
      <w:pPr>
        <w:pStyle w:val="Paragrafoelenco"/>
        <w:ind w:left="0" w:right="-7"/>
        <w:jc w:val="both"/>
        <w:rPr>
          <w:sz w:val="28"/>
          <w:szCs w:val="28"/>
        </w:rPr>
      </w:pPr>
    </w:p>
    <w:p w14:paraId="6F30C8FE" w14:textId="77777777" w:rsidR="0066623C" w:rsidRPr="008E04B0" w:rsidRDefault="007F5C93" w:rsidP="008E04B0">
      <w:pPr>
        <w:pStyle w:val="Paragrafoelenco"/>
        <w:numPr>
          <w:ilvl w:val="0"/>
          <w:numId w:val="1"/>
        </w:numPr>
        <w:ind w:left="0" w:right="-7" w:firstLine="0"/>
        <w:jc w:val="both"/>
        <w:rPr>
          <w:sz w:val="28"/>
          <w:szCs w:val="28"/>
        </w:rPr>
      </w:pPr>
      <w:r w:rsidRPr="008E04B0">
        <w:rPr>
          <w:sz w:val="28"/>
          <w:szCs w:val="28"/>
        </w:rPr>
        <w:t>Più di rece</w:t>
      </w:r>
      <w:bookmarkStart w:id="0" w:name="_GoBack"/>
      <w:bookmarkEnd w:id="0"/>
      <w:r w:rsidRPr="008E04B0">
        <w:rPr>
          <w:sz w:val="28"/>
          <w:szCs w:val="28"/>
        </w:rPr>
        <w:t>nte, con la legge</w:t>
      </w:r>
      <w:r w:rsidR="00493535">
        <w:rPr>
          <w:sz w:val="28"/>
          <w:szCs w:val="28"/>
        </w:rPr>
        <w:t xml:space="preserve"> delega</w:t>
      </w:r>
      <w:r w:rsidRPr="008E04B0">
        <w:rPr>
          <w:sz w:val="28"/>
          <w:szCs w:val="28"/>
        </w:rPr>
        <w:t xml:space="preserve"> n. 42/2009 </w:t>
      </w:r>
      <w:r w:rsidRPr="00263214">
        <w:rPr>
          <w:sz w:val="28"/>
          <w:szCs w:val="28"/>
        </w:rPr>
        <w:t>in tema di federalismo fiscale, si è aggiunta pure la</w:t>
      </w:r>
      <w:r w:rsidRPr="004710DE">
        <w:rPr>
          <w:b/>
          <w:sz w:val="28"/>
          <w:szCs w:val="28"/>
        </w:rPr>
        <w:t xml:space="preserve"> Conferenza permanente per il coordinamento della finanza pubblica</w:t>
      </w:r>
      <w:r w:rsidRPr="008E04B0">
        <w:rPr>
          <w:sz w:val="28"/>
          <w:szCs w:val="28"/>
        </w:rPr>
        <w:t xml:space="preserve"> (disciplina</w:t>
      </w:r>
      <w:r w:rsidR="00E07440">
        <w:rPr>
          <w:sz w:val="28"/>
          <w:szCs w:val="28"/>
        </w:rPr>
        <w:t>ta</w:t>
      </w:r>
      <w:r w:rsidRPr="008E04B0">
        <w:rPr>
          <w:sz w:val="28"/>
          <w:szCs w:val="28"/>
        </w:rPr>
        <w:t xml:space="preserve"> dal d.lgs. n. 68/2011)</w:t>
      </w:r>
      <w:r w:rsidR="00C56B67">
        <w:rPr>
          <w:sz w:val="28"/>
          <w:szCs w:val="28"/>
        </w:rPr>
        <w:t>,</w:t>
      </w:r>
      <w:r w:rsidR="008E04B0" w:rsidRPr="008E04B0">
        <w:rPr>
          <w:sz w:val="28"/>
          <w:szCs w:val="28"/>
        </w:rPr>
        <w:t xml:space="preserve"> </w:t>
      </w:r>
      <w:r w:rsidR="00957201">
        <w:rPr>
          <w:sz w:val="28"/>
          <w:szCs w:val="28"/>
        </w:rPr>
        <w:t>nuova</w:t>
      </w:r>
      <w:r w:rsidR="008E04B0" w:rsidRPr="008E04B0">
        <w:rPr>
          <w:sz w:val="28"/>
          <w:szCs w:val="28"/>
        </w:rPr>
        <w:t xml:space="preserve"> sede</w:t>
      </w:r>
      <w:r w:rsidR="00957201">
        <w:rPr>
          <w:sz w:val="28"/>
          <w:szCs w:val="28"/>
        </w:rPr>
        <w:t xml:space="preserve"> </w:t>
      </w:r>
      <w:r w:rsidRPr="008E04B0">
        <w:rPr>
          <w:sz w:val="28"/>
          <w:szCs w:val="28"/>
        </w:rPr>
        <w:t xml:space="preserve">specializzata di raccordo </w:t>
      </w:r>
      <w:r w:rsidR="004710DE">
        <w:rPr>
          <w:sz w:val="28"/>
          <w:szCs w:val="28"/>
        </w:rPr>
        <w:t>inter</w:t>
      </w:r>
      <w:r w:rsidR="00493535">
        <w:rPr>
          <w:sz w:val="28"/>
          <w:szCs w:val="28"/>
        </w:rPr>
        <w:t>-</w:t>
      </w:r>
      <w:r w:rsidR="004710DE">
        <w:rPr>
          <w:sz w:val="28"/>
          <w:szCs w:val="28"/>
        </w:rPr>
        <w:t xml:space="preserve">istituzionale, </w:t>
      </w:r>
      <w:r w:rsidRPr="008E04B0">
        <w:rPr>
          <w:sz w:val="28"/>
          <w:szCs w:val="28"/>
        </w:rPr>
        <w:t xml:space="preserve">per la definizione dei contenuti delle norme di coordinamento della finanza pubblica e per il monitoraggio degli andamenti della finanza territoriale. Al di là degli esiti che la Conferenza permanente ha raggiunto – non completamente soddisfacenti, anche a causa del perdurante ritardo nell’attuazione della legge n. 42/2009 – la sua istituzione esprime l’esigenza di avere </w:t>
      </w:r>
      <w:r w:rsidRPr="004710DE">
        <w:rPr>
          <w:b/>
          <w:sz w:val="28"/>
          <w:szCs w:val="28"/>
        </w:rPr>
        <w:t>sedi di leale collaborazione sempre più specializzate</w:t>
      </w:r>
      <w:r w:rsidR="004710DE">
        <w:rPr>
          <w:b/>
          <w:sz w:val="28"/>
          <w:szCs w:val="28"/>
        </w:rPr>
        <w:t xml:space="preserve">, </w:t>
      </w:r>
      <w:r w:rsidR="004710DE" w:rsidRPr="00263214">
        <w:rPr>
          <w:sz w:val="28"/>
          <w:szCs w:val="28"/>
        </w:rPr>
        <w:t>per composizione ed oggetto di esame,</w:t>
      </w:r>
      <w:r w:rsidRPr="00263214">
        <w:rPr>
          <w:sz w:val="28"/>
          <w:szCs w:val="28"/>
        </w:rPr>
        <w:t xml:space="preserve"> nei singoli ambiti ordinamentali. </w:t>
      </w:r>
      <w:r w:rsidR="00E07440" w:rsidRPr="00263214">
        <w:rPr>
          <w:sz w:val="28"/>
          <w:szCs w:val="28"/>
        </w:rPr>
        <w:t>Nel medes</w:t>
      </w:r>
      <w:r w:rsidR="00E07440">
        <w:rPr>
          <w:sz w:val="28"/>
          <w:szCs w:val="28"/>
        </w:rPr>
        <w:t>imo senso</w:t>
      </w:r>
      <w:r w:rsidR="00C56B67">
        <w:rPr>
          <w:sz w:val="28"/>
          <w:szCs w:val="28"/>
        </w:rPr>
        <w:t xml:space="preserve"> si muove anche </w:t>
      </w:r>
      <w:r w:rsidRPr="008E04B0">
        <w:rPr>
          <w:sz w:val="28"/>
          <w:szCs w:val="28"/>
        </w:rPr>
        <w:t xml:space="preserve">la c.d. </w:t>
      </w:r>
      <w:r w:rsidRPr="008E04B0">
        <w:rPr>
          <w:i/>
          <w:sz w:val="28"/>
          <w:szCs w:val="28"/>
        </w:rPr>
        <w:t>sessione europea</w:t>
      </w:r>
      <w:r w:rsidRPr="008E04B0">
        <w:rPr>
          <w:sz w:val="28"/>
          <w:szCs w:val="28"/>
        </w:rPr>
        <w:t xml:space="preserve"> della Conferenza permanente per i rapporti tra lo Stato, le regioni e le province autonome di Trento e di Bolzano (art. 22, legge n. 234/2012). </w:t>
      </w:r>
    </w:p>
    <w:p w14:paraId="3D9BABAA" w14:textId="77777777" w:rsidR="008E04B0" w:rsidRPr="008E04B0" w:rsidRDefault="008E04B0" w:rsidP="008E04B0">
      <w:pPr>
        <w:pStyle w:val="Paragrafoelenco"/>
        <w:jc w:val="both"/>
        <w:rPr>
          <w:sz w:val="28"/>
          <w:szCs w:val="28"/>
        </w:rPr>
      </w:pPr>
    </w:p>
    <w:p w14:paraId="1815681C" w14:textId="77777777" w:rsidR="005C3D41" w:rsidRPr="00263214" w:rsidRDefault="00263214" w:rsidP="005C3D41">
      <w:pPr>
        <w:pStyle w:val="Paragrafoelenco"/>
        <w:numPr>
          <w:ilvl w:val="0"/>
          <w:numId w:val="1"/>
        </w:numPr>
        <w:ind w:left="0" w:right="-7" w:firstLine="0"/>
        <w:jc w:val="both"/>
        <w:rPr>
          <w:sz w:val="28"/>
          <w:szCs w:val="28"/>
        </w:rPr>
      </w:pPr>
      <w:proofErr w:type="gramStart"/>
      <w:r>
        <w:rPr>
          <w:sz w:val="28"/>
          <w:szCs w:val="28"/>
        </w:rPr>
        <w:t>E’</w:t>
      </w:r>
      <w:proofErr w:type="gramEnd"/>
      <w:r>
        <w:rPr>
          <w:sz w:val="28"/>
          <w:szCs w:val="28"/>
        </w:rPr>
        <w:t xml:space="preserve"> evidente</w:t>
      </w:r>
      <w:r w:rsidR="008E04B0" w:rsidRPr="008E04B0">
        <w:rPr>
          <w:sz w:val="28"/>
          <w:szCs w:val="28"/>
        </w:rPr>
        <w:t xml:space="preserve"> </w:t>
      </w:r>
      <w:r w:rsidR="008E04B0" w:rsidRPr="004710DE">
        <w:rPr>
          <w:b/>
          <w:sz w:val="28"/>
          <w:szCs w:val="28"/>
        </w:rPr>
        <w:t xml:space="preserve">la rilevanza costituzionale del tema </w:t>
      </w:r>
      <w:r w:rsidR="00493535">
        <w:rPr>
          <w:b/>
          <w:sz w:val="28"/>
          <w:szCs w:val="28"/>
        </w:rPr>
        <w:t xml:space="preserve">affidato a </w:t>
      </w:r>
      <w:r w:rsidR="008E04B0" w:rsidRPr="004710DE">
        <w:rPr>
          <w:b/>
          <w:sz w:val="28"/>
          <w:szCs w:val="28"/>
        </w:rPr>
        <w:t>questa Commissione di studio e analisi</w:t>
      </w:r>
      <w:r w:rsidR="00957201">
        <w:rPr>
          <w:sz w:val="28"/>
          <w:szCs w:val="28"/>
        </w:rPr>
        <w:t xml:space="preserve">: </w:t>
      </w:r>
      <w:r w:rsidR="00493535">
        <w:rPr>
          <w:sz w:val="28"/>
          <w:szCs w:val="28"/>
        </w:rPr>
        <w:t>siamo</w:t>
      </w:r>
      <w:r w:rsidR="00957201">
        <w:rPr>
          <w:sz w:val="28"/>
          <w:szCs w:val="28"/>
        </w:rPr>
        <w:t xml:space="preserve"> in uno degli snodi fondamentali della forma di </w:t>
      </w:r>
      <w:r w:rsidR="00C56B67">
        <w:rPr>
          <w:sz w:val="28"/>
          <w:szCs w:val="28"/>
        </w:rPr>
        <w:t>S</w:t>
      </w:r>
      <w:r w:rsidR="00957201">
        <w:rPr>
          <w:sz w:val="28"/>
          <w:szCs w:val="28"/>
        </w:rPr>
        <w:t>tato regionale</w:t>
      </w:r>
      <w:r w:rsidR="004710DE">
        <w:rPr>
          <w:sz w:val="28"/>
          <w:szCs w:val="28"/>
        </w:rPr>
        <w:t xml:space="preserve"> e in uno degli ambiti più interessanti</w:t>
      </w:r>
      <w:r w:rsidR="00493535">
        <w:rPr>
          <w:sz w:val="28"/>
          <w:szCs w:val="28"/>
        </w:rPr>
        <w:t xml:space="preserve"> e mutevoli</w:t>
      </w:r>
      <w:r w:rsidR="004710DE">
        <w:rPr>
          <w:sz w:val="28"/>
          <w:szCs w:val="28"/>
        </w:rPr>
        <w:t xml:space="preserve"> della </w:t>
      </w:r>
      <w:r w:rsidR="004710DE">
        <w:rPr>
          <w:i/>
          <w:sz w:val="28"/>
          <w:szCs w:val="28"/>
        </w:rPr>
        <w:t>Costituzione materiale</w:t>
      </w:r>
      <w:r w:rsidR="008E04B0" w:rsidRPr="008E04B0">
        <w:rPr>
          <w:sz w:val="28"/>
          <w:szCs w:val="28"/>
        </w:rPr>
        <w:t xml:space="preserve">. </w:t>
      </w:r>
      <w:r w:rsidR="004710DE">
        <w:rPr>
          <w:sz w:val="28"/>
          <w:szCs w:val="28"/>
        </w:rPr>
        <w:t>A questo proposito, v</w:t>
      </w:r>
      <w:r w:rsidR="008E04B0" w:rsidRPr="008E04B0">
        <w:rPr>
          <w:sz w:val="28"/>
          <w:szCs w:val="28"/>
        </w:rPr>
        <w:t xml:space="preserve">orrei </w:t>
      </w:r>
      <w:r w:rsidR="00493535">
        <w:rPr>
          <w:sz w:val="28"/>
          <w:szCs w:val="28"/>
        </w:rPr>
        <w:t>sottolineare</w:t>
      </w:r>
      <w:r w:rsidR="008E04B0" w:rsidRPr="008E04B0">
        <w:rPr>
          <w:sz w:val="28"/>
          <w:szCs w:val="28"/>
        </w:rPr>
        <w:t xml:space="preserve"> come la </w:t>
      </w:r>
      <w:r w:rsidR="008E04B0" w:rsidRPr="004710DE">
        <w:rPr>
          <w:b/>
          <w:sz w:val="28"/>
          <w:szCs w:val="28"/>
        </w:rPr>
        <w:t>composizione mista</w:t>
      </w:r>
      <w:r w:rsidR="004710DE" w:rsidRPr="004710DE">
        <w:rPr>
          <w:b/>
          <w:sz w:val="28"/>
          <w:szCs w:val="28"/>
        </w:rPr>
        <w:t xml:space="preserve"> della Commissione</w:t>
      </w:r>
      <w:r w:rsidR="008E04B0" w:rsidRPr="008E04B0">
        <w:rPr>
          <w:sz w:val="28"/>
          <w:szCs w:val="28"/>
        </w:rPr>
        <w:t xml:space="preserve"> – in parte membri provenienti dall’amministrazione, in parte membri provenienti dall’accademia</w:t>
      </w:r>
      <w:r w:rsidR="00A80AC7">
        <w:rPr>
          <w:sz w:val="28"/>
          <w:szCs w:val="28"/>
        </w:rPr>
        <w:t>, in parte membri indicati dalle autonomie territoriali</w:t>
      </w:r>
      <w:r w:rsidR="008E04B0" w:rsidRPr="008E04B0">
        <w:rPr>
          <w:sz w:val="28"/>
          <w:szCs w:val="28"/>
        </w:rPr>
        <w:t xml:space="preserve"> – </w:t>
      </w:r>
      <w:r w:rsidR="00493535">
        <w:rPr>
          <w:sz w:val="28"/>
          <w:szCs w:val="28"/>
        </w:rPr>
        <w:t xml:space="preserve">sia </w:t>
      </w:r>
      <w:r w:rsidR="008E04B0" w:rsidRPr="008E04B0">
        <w:rPr>
          <w:sz w:val="28"/>
          <w:szCs w:val="28"/>
        </w:rPr>
        <w:t xml:space="preserve">stata voluta al fine di consentire una adeguata e profonda conoscenza </w:t>
      </w:r>
      <w:r w:rsidR="00C56B67">
        <w:rPr>
          <w:sz w:val="28"/>
          <w:szCs w:val="28"/>
        </w:rPr>
        <w:t>teorica e pratica</w:t>
      </w:r>
      <w:r w:rsidR="008E04B0" w:rsidRPr="008E04B0">
        <w:rPr>
          <w:sz w:val="28"/>
          <w:szCs w:val="28"/>
        </w:rPr>
        <w:t xml:space="preserve"> del sistema delle Conferenze, con i </w:t>
      </w:r>
      <w:r w:rsidR="00264369">
        <w:rPr>
          <w:sz w:val="28"/>
          <w:szCs w:val="28"/>
        </w:rPr>
        <w:t xml:space="preserve">relativi </w:t>
      </w:r>
      <w:r w:rsidR="008E04B0" w:rsidRPr="008E04B0">
        <w:rPr>
          <w:sz w:val="28"/>
          <w:szCs w:val="28"/>
        </w:rPr>
        <w:t xml:space="preserve">punti di forza e </w:t>
      </w:r>
      <w:r w:rsidR="00264369">
        <w:rPr>
          <w:sz w:val="28"/>
          <w:szCs w:val="28"/>
        </w:rPr>
        <w:t xml:space="preserve">di </w:t>
      </w:r>
      <w:r w:rsidR="008E04B0" w:rsidRPr="008E04B0">
        <w:rPr>
          <w:sz w:val="28"/>
          <w:szCs w:val="28"/>
        </w:rPr>
        <w:t xml:space="preserve">debolezza. Molti degli studiosi e delle studiose presenti a questo tavolo hanno dato importanti contributi </w:t>
      </w:r>
      <w:r w:rsidR="004710DE">
        <w:rPr>
          <w:sz w:val="28"/>
          <w:szCs w:val="28"/>
        </w:rPr>
        <w:t xml:space="preserve">scientifici </w:t>
      </w:r>
      <w:r w:rsidR="008E04B0" w:rsidRPr="008E04B0">
        <w:rPr>
          <w:sz w:val="28"/>
          <w:szCs w:val="28"/>
        </w:rPr>
        <w:t>alla</w:t>
      </w:r>
      <w:r w:rsidR="004710DE">
        <w:rPr>
          <w:sz w:val="28"/>
          <w:szCs w:val="28"/>
        </w:rPr>
        <w:t xml:space="preserve"> indagine </w:t>
      </w:r>
      <w:r w:rsidR="00264369">
        <w:rPr>
          <w:sz w:val="28"/>
          <w:szCs w:val="28"/>
        </w:rPr>
        <w:t>de</w:t>
      </w:r>
      <w:r w:rsidR="004710DE">
        <w:rPr>
          <w:sz w:val="28"/>
          <w:szCs w:val="28"/>
        </w:rPr>
        <w:t xml:space="preserve">lla prassi e </w:t>
      </w:r>
      <w:r w:rsidR="00264369">
        <w:rPr>
          <w:sz w:val="28"/>
          <w:szCs w:val="28"/>
        </w:rPr>
        <w:t>de</w:t>
      </w:r>
      <w:r w:rsidR="004710DE">
        <w:rPr>
          <w:sz w:val="28"/>
          <w:szCs w:val="28"/>
        </w:rPr>
        <w:t>lla sua</w:t>
      </w:r>
      <w:r w:rsidR="008E04B0" w:rsidRPr="008E04B0">
        <w:rPr>
          <w:sz w:val="28"/>
          <w:szCs w:val="28"/>
        </w:rPr>
        <w:t xml:space="preserve"> </w:t>
      </w:r>
      <w:r w:rsidR="008E04B0" w:rsidRPr="008E04B0">
        <w:rPr>
          <w:i/>
          <w:sz w:val="28"/>
          <w:szCs w:val="28"/>
        </w:rPr>
        <w:t>razionalizzazione</w:t>
      </w:r>
      <w:r w:rsidR="008E04B0" w:rsidRPr="008E04B0">
        <w:rPr>
          <w:sz w:val="28"/>
          <w:szCs w:val="28"/>
        </w:rPr>
        <w:t>, traendo dalle decisioni della Corte</w:t>
      </w:r>
      <w:r w:rsidR="00957201">
        <w:rPr>
          <w:sz w:val="28"/>
          <w:szCs w:val="28"/>
        </w:rPr>
        <w:t xml:space="preserve"> un quadro complessivo di</w:t>
      </w:r>
      <w:r w:rsidR="008E04B0" w:rsidRPr="008E04B0">
        <w:rPr>
          <w:sz w:val="28"/>
          <w:szCs w:val="28"/>
        </w:rPr>
        <w:t xml:space="preserve"> </w:t>
      </w:r>
      <w:r w:rsidR="008E04B0" w:rsidRPr="008E04B0">
        <w:rPr>
          <w:i/>
          <w:sz w:val="28"/>
          <w:szCs w:val="28"/>
        </w:rPr>
        <w:t xml:space="preserve">principi e regole </w:t>
      </w:r>
      <w:r w:rsidR="008E04B0" w:rsidRPr="008E04B0">
        <w:rPr>
          <w:sz w:val="28"/>
          <w:szCs w:val="28"/>
        </w:rPr>
        <w:t>da applicare</w:t>
      </w:r>
      <w:r w:rsidR="00957201">
        <w:rPr>
          <w:sz w:val="28"/>
          <w:szCs w:val="28"/>
        </w:rPr>
        <w:t xml:space="preserve"> poi</w:t>
      </w:r>
      <w:r w:rsidR="008E04B0" w:rsidRPr="008E04B0">
        <w:rPr>
          <w:sz w:val="28"/>
          <w:szCs w:val="28"/>
        </w:rPr>
        <w:t xml:space="preserve"> al caso concreto.</w:t>
      </w:r>
      <w:r w:rsidR="008E04B0">
        <w:rPr>
          <w:sz w:val="28"/>
          <w:szCs w:val="28"/>
        </w:rPr>
        <w:t xml:space="preserve"> </w:t>
      </w:r>
      <w:r w:rsidR="008E04B0" w:rsidRPr="008E04B0">
        <w:rPr>
          <w:sz w:val="28"/>
          <w:szCs w:val="28"/>
        </w:rPr>
        <w:t xml:space="preserve"> </w:t>
      </w:r>
      <w:r w:rsidR="008E04B0">
        <w:rPr>
          <w:sz w:val="28"/>
          <w:szCs w:val="28"/>
        </w:rPr>
        <w:t xml:space="preserve">Il lavoro </w:t>
      </w:r>
      <w:r w:rsidR="00493535">
        <w:rPr>
          <w:sz w:val="28"/>
          <w:szCs w:val="28"/>
        </w:rPr>
        <w:t>di</w:t>
      </w:r>
      <w:r w:rsidR="00957201">
        <w:rPr>
          <w:sz w:val="28"/>
          <w:szCs w:val="28"/>
        </w:rPr>
        <w:t xml:space="preserve"> questa</w:t>
      </w:r>
      <w:r w:rsidR="008E04B0">
        <w:rPr>
          <w:sz w:val="28"/>
          <w:szCs w:val="28"/>
        </w:rPr>
        <w:t xml:space="preserve"> Commissione è, quindi, </w:t>
      </w:r>
      <w:r w:rsidR="004710DE" w:rsidRPr="00263214">
        <w:rPr>
          <w:sz w:val="28"/>
          <w:szCs w:val="28"/>
        </w:rPr>
        <w:t xml:space="preserve">prima di </w:t>
      </w:r>
      <w:r w:rsidR="008E04B0" w:rsidRPr="00263214">
        <w:rPr>
          <w:sz w:val="28"/>
          <w:szCs w:val="28"/>
        </w:rPr>
        <w:t>“riconoscimento” di come oggi le Conferenze operano e</w:t>
      </w:r>
      <w:r w:rsidR="004710DE" w:rsidRPr="00263214">
        <w:rPr>
          <w:sz w:val="28"/>
          <w:szCs w:val="28"/>
        </w:rPr>
        <w:t>, successivamente, di</w:t>
      </w:r>
      <w:r w:rsidR="008E04B0" w:rsidRPr="00263214">
        <w:rPr>
          <w:sz w:val="28"/>
          <w:szCs w:val="28"/>
        </w:rPr>
        <w:t xml:space="preserve"> sviluppo di “proposte” perché </w:t>
      </w:r>
      <w:r w:rsidR="004710DE" w:rsidRPr="00263214">
        <w:rPr>
          <w:sz w:val="28"/>
          <w:szCs w:val="28"/>
        </w:rPr>
        <w:t>le Conferenze</w:t>
      </w:r>
      <w:r w:rsidR="008E04B0" w:rsidRPr="00263214">
        <w:rPr>
          <w:sz w:val="28"/>
          <w:szCs w:val="28"/>
        </w:rPr>
        <w:t xml:space="preserve"> possano operare meglio. </w:t>
      </w:r>
    </w:p>
    <w:p w14:paraId="0847BB5D" w14:textId="77777777" w:rsidR="005C3D41" w:rsidRDefault="005C3D41" w:rsidP="005C3D41">
      <w:pPr>
        <w:pStyle w:val="Paragrafoelenco"/>
        <w:ind w:left="0" w:right="-7"/>
        <w:jc w:val="both"/>
        <w:rPr>
          <w:sz w:val="28"/>
          <w:szCs w:val="28"/>
        </w:rPr>
      </w:pPr>
    </w:p>
    <w:p w14:paraId="42EB934F" w14:textId="77777777" w:rsidR="00444067" w:rsidRPr="00263214" w:rsidRDefault="008E04B0" w:rsidP="00571182">
      <w:pPr>
        <w:pStyle w:val="Paragrafoelenco"/>
        <w:numPr>
          <w:ilvl w:val="0"/>
          <w:numId w:val="1"/>
        </w:numPr>
        <w:ind w:left="0" w:right="-7" w:firstLine="0"/>
        <w:jc w:val="both"/>
        <w:rPr>
          <w:sz w:val="28"/>
          <w:szCs w:val="28"/>
        </w:rPr>
      </w:pPr>
      <w:r w:rsidRPr="00C56B67">
        <w:rPr>
          <w:sz w:val="28"/>
          <w:szCs w:val="28"/>
        </w:rPr>
        <w:t xml:space="preserve">Non si può negare che </w:t>
      </w:r>
      <w:r w:rsidRPr="00C56B67">
        <w:rPr>
          <w:b/>
          <w:sz w:val="28"/>
          <w:szCs w:val="28"/>
        </w:rPr>
        <w:t xml:space="preserve">l’informalità </w:t>
      </w:r>
      <w:r w:rsidRPr="00263214">
        <w:rPr>
          <w:sz w:val="28"/>
          <w:szCs w:val="28"/>
        </w:rPr>
        <w:t>sia una risorsa a disposizione delle Conferenze</w:t>
      </w:r>
      <w:r w:rsidRPr="00C56B67">
        <w:rPr>
          <w:sz w:val="28"/>
          <w:szCs w:val="28"/>
        </w:rPr>
        <w:t>: l’assenza di un regolamento</w:t>
      </w:r>
      <w:r w:rsidR="00972056" w:rsidRPr="00C56B67">
        <w:rPr>
          <w:sz w:val="28"/>
          <w:szCs w:val="28"/>
        </w:rPr>
        <w:t xml:space="preserve"> </w:t>
      </w:r>
      <w:r w:rsidRPr="00C56B67">
        <w:rPr>
          <w:sz w:val="28"/>
          <w:szCs w:val="28"/>
        </w:rPr>
        <w:t>del “collegio”</w:t>
      </w:r>
      <w:r w:rsidR="005C3D41" w:rsidRPr="00C56B67">
        <w:rPr>
          <w:sz w:val="28"/>
          <w:szCs w:val="28"/>
        </w:rPr>
        <w:t xml:space="preserve"> Conferenza</w:t>
      </w:r>
      <w:r w:rsidRPr="00C56B67">
        <w:rPr>
          <w:sz w:val="28"/>
          <w:szCs w:val="28"/>
        </w:rPr>
        <w:t xml:space="preserve">, che ne disciplini </w:t>
      </w:r>
      <w:r w:rsidR="005C3D41" w:rsidRPr="00C56B67">
        <w:rPr>
          <w:sz w:val="28"/>
          <w:szCs w:val="28"/>
        </w:rPr>
        <w:t xml:space="preserve">– </w:t>
      </w:r>
      <w:r w:rsidR="004710DE" w:rsidRPr="00C56B67">
        <w:rPr>
          <w:sz w:val="28"/>
          <w:szCs w:val="28"/>
        </w:rPr>
        <w:t xml:space="preserve">pur </w:t>
      </w:r>
      <w:r w:rsidR="005C3D41" w:rsidRPr="00C56B67">
        <w:rPr>
          <w:sz w:val="28"/>
          <w:szCs w:val="28"/>
        </w:rPr>
        <w:t xml:space="preserve">con tutte le sue peculiarità - </w:t>
      </w:r>
      <w:r w:rsidRPr="00C56B67">
        <w:rPr>
          <w:sz w:val="28"/>
          <w:szCs w:val="28"/>
        </w:rPr>
        <w:t xml:space="preserve">gli aspetti di organizzazione e funzionamento, è un dato </w:t>
      </w:r>
      <w:r w:rsidRPr="00C56B67">
        <w:rPr>
          <w:i/>
          <w:sz w:val="28"/>
          <w:szCs w:val="28"/>
        </w:rPr>
        <w:t>ambivalente</w:t>
      </w:r>
      <w:r w:rsidRPr="00C56B67">
        <w:rPr>
          <w:sz w:val="28"/>
          <w:szCs w:val="28"/>
        </w:rPr>
        <w:t xml:space="preserve">. Da una parte, </w:t>
      </w:r>
      <w:r w:rsidRPr="00263214">
        <w:rPr>
          <w:sz w:val="28"/>
          <w:szCs w:val="28"/>
        </w:rPr>
        <w:t>consente di procedere senza particolari formalità e rapidamente, affidando</w:t>
      </w:r>
      <w:r w:rsidR="00264369" w:rsidRPr="00263214">
        <w:rPr>
          <w:sz w:val="28"/>
          <w:szCs w:val="28"/>
        </w:rPr>
        <w:t>s</w:t>
      </w:r>
      <w:r w:rsidRPr="00263214">
        <w:rPr>
          <w:sz w:val="28"/>
          <w:szCs w:val="28"/>
        </w:rPr>
        <w:t xml:space="preserve">i al lavoro istruttorio degli uffici, che è enorme e </w:t>
      </w:r>
      <w:r w:rsidR="00264369" w:rsidRPr="00263214">
        <w:rPr>
          <w:sz w:val="28"/>
          <w:szCs w:val="28"/>
        </w:rPr>
        <w:t xml:space="preserve">di </w:t>
      </w:r>
      <w:r w:rsidRPr="00263214">
        <w:rPr>
          <w:sz w:val="28"/>
          <w:szCs w:val="28"/>
        </w:rPr>
        <w:t>grandissimo livello</w:t>
      </w:r>
      <w:r w:rsidR="004710DE" w:rsidRPr="00263214">
        <w:rPr>
          <w:sz w:val="28"/>
          <w:szCs w:val="28"/>
        </w:rPr>
        <w:t>, svolto fra</w:t>
      </w:r>
      <w:r w:rsidR="004710DE" w:rsidRPr="00C56B67">
        <w:rPr>
          <w:sz w:val="28"/>
          <w:szCs w:val="28"/>
        </w:rPr>
        <w:t xml:space="preserve"> le amministrazioni centrali, tra di loro, e fra le amministrazioni centrali e quelle territoriali</w:t>
      </w:r>
      <w:r w:rsidRPr="00C56B67">
        <w:rPr>
          <w:sz w:val="28"/>
          <w:szCs w:val="28"/>
        </w:rPr>
        <w:t xml:space="preserve">; dall’altra, però, </w:t>
      </w:r>
      <w:r w:rsidR="004710DE" w:rsidRPr="00263214">
        <w:rPr>
          <w:sz w:val="28"/>
          <w:szCs w:val="28"/>
        </w:rPr>
        <w:t>vi è il rischio</w:t>
      </w:r>
      <w:r w:rsidRPr="00263214">
        <w:rPr>
          <w:sz w:val="28"/>
          <w:szCs w:val="28"/>
        </w:rPr>
        <w:t xml:space="preserve"> </w:t>
      </w:r>
      <w:r w:rsidR="00444067" w:rsidRPr="00263214">
        <w:rPr>
          <w:sz w:val="28"/>
          <w:szCs w:val="28"/>
        </w:rPr>
        <w:t>che situazioni contingenti</w:t>
      </w:r>
      <w:r w:rsidR="00493535" w:rsidRPr="00263214">
        <w:rPr>
          <w:sz w:val="28"/>
          <w:szCs w:val="28"/>
        </w:rPr>
        <w:t xml:space="preserve"> </w:t>
      </w:r>
      <w:r w:rsidR="00444067" w:rsidRPr="00263214">
        <w:rPr>
          <w:sz w:val="28"/>
          <w:szCs w:val="28"/>
        </w:rPr>
        <w:t xml:space="preserve">blocchino </w:t>
      </w:r>
      <w:r w:rsidRPr="00263214">
        <w:rPr>
          <w:sz w:val="28"/>
          <w:szCs w:val="28"/>
        </w:rPr>
        <w:t xml:space="preserve">i lavori, in caso di </w:t>
      </w:r>
      <w:r w:rsidR="006A094E" w:rsidRPr="00263214">
        <w:rPr>
          <w:sz w:val="28"/>
          <w:szCs w:val="28"/>
        </w:rPr>
        <w:t xml:space="preserve">una </w:t>
      </w:r>
      <w:r w:rsidRPr="00263214">
        <w:rPr>
          <w:sz w:val="28"/>
          <w:szCs w:val="28"/>
        </w:rPr>
        <w:t xml:space="preserve">conflittualità fra Stato ed enti </w:t>
      </w:r>
      <w:r w:rsidRPr="00263214">
        <w:rPr>
          <w:sz w:val="28"/>
          <w:szCs w:val="28"/>
        </w:rPr>
        <w:lastRenderedPageBreak/>
        <w:t>territoriali</w:t>
      </w:r>
      <w:r w:rsidR="006A094E" w:rsidRPr="00263214">
        <w:rPr>
          <w:sz w:val="28"/>
          <w:szCs w:val="28"/>
        </w:rPr>
        <w:t>: abbiamo</w:t>
      </w:r>
      <w:r w:rsidR="00A80AC7" w:rsidRPr="00263214">
        <w:rPr>
          <w:sz w:val="28"/>
          <w:szCs w:val="28"/>
        </w:rPr>
        <w:t xml:space="preserve">, forse, </w:t>
      </w:r>
      <w:r w:rsidR="006A094E" w:rsidRPr="00263214">
        <w:rPr>
          <w:sz w:val="28"/>
          <w:szCs w:val="28"/>
        </w:rPr>
        <w:t xml:space="preserve">bisogno di qualche regola </w:t>
      </w:r>
      <w:r w:rsidR="004710DE" w:rsidRPr="00263214">
        <w:rPr>
          <w:sz w:val="28"/>
          <w:szCs w:val="28"/>
        </w:rPr>
        <w:t>che riesca a superare eventuali “stalli” o “crisi”</w:t>
      </w:r>
      <w:r w:rsidRPr="00263214">
        <w:rPr>
          <w:sz w:val="28"/>
          <w:szCs w:val="28"/>
        </w:rPr>
        <w:t xml:space="preserve">. </w:t>
      </w:r>
    </w:p>
    <w:p w14:paraId="627F2433" w14:textId="77777777" w:rsidR="00C56B67" w:rsidRPr="00C56B67" w:rsidRDefault="00C56B67" w:rsidP="00C56B67">
      <w:pPr>
        <w:pStyle w:val="Paragrafoelenco"/>
        <w:ind w:left="0" w:right="-7"/>
        <w:jc w:val="both"/>
        <w:rPr>
          <w:sz w:val="28"/>
          <w:szCs w:val="28"/>
        </w:rPr>
      </w:pPr>
    </w:p>
    <w:p w14:paraId="429CA4F3" w14:textId="77777777" w:rsidR="005C3D41" w:rsidRPr="00263214" w:rsidRDefault="00444067" w:rsidP="005C3D41">
      <w:pPr>
        <w:pStyle w:val="Paragrafoelenco"/>
        <w:numPr>
          <w:ilvl w:val="0"/>
          <w:numId w:val="1"/>
        </w:numPr>
        <w:ind w:left="0" w:right="-7" w:firstLine="0"/>
        <w:jc w:val="both"/>
        <w:rPr>
          <w:sz w:val="28"/>
          <w:szCs w:val="28"/>
        </w:rPr>
      </w:pPr>
      <w:r>
        <w:rPr>
          <w:sz w:val="28"/>
          <w:szCs w:val="28"/>
        </w:rPr>
        <w:t>A</w:t>
      </w:r>
      <w:r w:rsidR="005C3D41" w:rsidRPr="005C3D41">
        <w:rPr>
          <w:sz w:val="28"/>
          <w:szCs w:val="28"/>
        </w:rPr>
        <w:t xml:space="preserve">bbiamo un </w:t>
      </w:r>
      <w:r w:rsidR="005C3D41" w:rsidRPr="00444067">
        <w:rPr>
          <w:b/>
          <w:sz w:val="28"/>
          <w:szCs w:val="28"/>
        </w:rPr>
        <w:t xml:space="preserve">dovere di trasparenza </w:t>
      </w:r>
      <w:r w:rsidR="005C3D41" w:rsidRPr="00263214">
        <w:rPr>
          <w:sz w:val="28"/>
          <w:szCs w:val="28"/>
        </w:rPr>
        <w:t>nei confronti delle istituzioni</w:t>
      </w:r>
      <w:r w:rsidR="00972056" w:rsidRPr="00263214">
        <w:rPr>
          <w:sz w:val="28"/>
          <w:szCs w:val="28"/>
        </w:rPr>
        <w:t xml:space="preserve"> (a partire dal Parlamento)</w:t>
      </w:r>
      <w:r w:rsidR="005C3D41" w:rsidRPr="00263214">
        <w:rPr>
          <w:sz w:val="28"/>
          <w:szCs w:val="28"/>
        </w:rPr>
        <w:t xml:space="preserve"> e dei cittadini. Personalmente, tento sempre di affidarmi alla massima di Hamilton per cui </w:t>
      </w:r>
      <w:r w:rsidR="005C3D41" w:rsidRPr="00263214">
        <w:rPr>
          <w:rFonts w:ascii="Times" w:hAnsi="Times"/>
          <w:sz w:val="28"/>
          <w:szCs w:val="28"/>
        </w:rPr>
        <w:t>«</w:t>
      </w:r>
      <w:r w:rsidR="005C3D41" w:rsidRPr="00263214">
        <w:rPr>
          <w:i/>
          <w:sz w:val="28"/>
          <w:szCs w:val="28"/>
        </w:rPr>
        <w:t>non è prudente demandare i poteri che dovrebbero spettare all'Unione ad organi che non possono essere continuamente e precisamente controllati</w:t>
      </w:r>
      <w:r w:rsidR="004710DE" w:rsidRPr="00263214">
        <w:rPr>
          <w:rStyle w:val="Rimandonotaapidipagina"/>
          <w:i/>
          <w:sz w:val="28"/>
          <w:szCs w:val="28"/>
        </w:rPr>
        <w:footnoteReference w:id="2"/>
      </w:r>
      <w:r w:rsidR="005C3D41" w:rsidRPr="00263214">
        <w:rPr>
          <w:rFonts w:ascii="Times" w:hAnsi="Times"/>
          <w:sz w:val="28"/>
          <w:szCs w:val="28"/>
        </w:rPr>
        <w:t>»</w:t>
      </w:r>
      <w:r w:rsidR="005C3D41" w:rsidRPr="00263214">
        <w:rPr>
          <w:sz w:val="28"/>
          <w:szCs w:val="28"/>
        </w:rPr>
        <w:t xml:space="preserve">. Dato che le Conferenze esercitano poteri </w:t>
      </w:r>
      <w:r w:rsidR="004710DE" w:rsidRPr="00263214">
        <w:rPr>
          <w:sz w:val="28"/>
          <w:szCs w:val="28"/>
        </w:rPr>
        <w:t xml:space="preserve">“a livello centrale” </w:t>
      </w:r>
      <w:r w:rsidRPr="00263214">
        <w:rPr>
          <w:sz w:val="28"/>
          <w:szCs w:val="28"/>
        </w:rPr>
        <w:t xml:space="preserve">interferenti con l’autonomia regionale </w:t>
      </w:r>
      <w:r w:rsidR="00A80AC7" w:rsidRPr="00263214">
        <w:rPr>
          <w:sz w:val="28"/>
          <w:szCs w:val="28"/>
        </w:rPr>
        <w:t xml:space="preserve">e locale </w:t>
      </w:r>
      <w:r w:rsidRPr="00263214">
        <w:rPr>
          <w:sz w:val="28"/>
          <w:szCs w:val="28"/>
        </w:rPr>
        <w:t xml:space="preserve">in forme </w:t>
      </w:r>
      <w:r w:rsidR="005C3D41" w:rsidRPr="00263214">
        <w:rPr>
          <w:sz w:val="28"/>
          <w:szCs w:val="28"/>
        </w:rPr>
        <w:t>non certo secondari</w:t>
      </w:r>
      <w:r w:rsidRPr="00263214">
        <w:rPr>
          <w:sz w:val="28"/>
          <w:szCs w:val="28"/>
        </w:rPr>
        <w:t>e</w:t>
      </w:r>
      <w:r w:rsidR="005C3D41" w:rsidRPr="00263214">
        <w:rPr>
          <w:sz w:val="28"/>
          <w:szCs w:val="28"/>
        </w:rPr>
        <w:t xml:space="preserve">, ritengo che </w:t>
      </w:r>
      <w:r w:rsidRPr="00263214">
        <w:rPr>
          <w:sz w:val="28"/>
          <w:szCs w:val="28"/>
        </w:rPr>
        <w:t>sia opportuno verificare ogni soluzione che possa rappresentare</w:t>
      </w:r>
      <w:r w:rsidR="00957201" w:rsidRPr="00263214">
        <w:rPr>
          <w:sz w:val="28"/>
          <w:szCs w:val="28"/>
        </w:rPr>
        <w:t xml:space="preserve"> </w:t>
      </w:r>
      <w:r w:rsidR="005C3D41" w:rsidRPr="00263214">
        <w:rPr>
          <w:sz w:val="28"/>
          <w:szCs w:val="28"/>
        </w:rPr>
        <w:t xml:space="preserve">un </w:t>
      </w:r>
      <w:r w:rsidR="004710DE" w:rsidRPr="00263214">
        <w:rPr>
          <w:sz w:val="28"/>
          <w:szCs w:val="28"/>
        </w:rPr>
        <w:t>passo</w:t>
      </w:r>
      <w:r w:rsidR="005C3D41" w:rsidRPr="00263214">
        <w:rPr>
          <w:sz w:val="28"/>
          <w:szCs w:val="28"/>
        </w:rPr>
        <w:t xml:space="preserve"> avanti </w:t>
      </w:r>
      <w:r w:rsidR="004710DE" w:rsidRPr="00263214">
        <w:rPr>
          <w:sz w:val="28"/>
          <w:szCs w:val="28"/>
        </w:rPr>
        <w:t xml:space="preserve">significativo </w:t>
      </w:r>
      <w:r w:rsidR="00A80AC7" w:rsidRPr="00263214">
        <w:rPr>
          <w:sz w:val="28"/>
          <w:szCs w:val="28"/>
        </w:rPr>
        <w:t xml:space="preserve">per </w:t>
      </w:r>
      <w:r w:rsidR="00957201" w:rsidRPr="00263214">
        <w:rPr>
          <w:sz w:val="28"/>
          <w:szCs w:val="28"/>
        </w:rPr>
        <w:t>il miglioramento del</w:t>
      </w:r>
      <w:r w:rsidR="005C3D41" w:rsidRPr="00263214">
        <w:rPr>
          <w:sz w:val="28"/>
          <w:szCs w:val="28"/>
        </w:rPr>
        <w:t xml:space="preserve"> profilo della responsabilità, della possibilità di conoscere</w:t>
      </w:r>
      <w:r w:rsidR="004710DE" w:rsidRPr="00263214">
        <w:rPr>
          <w:sz w:val="28"/>
          <w:szCs w:val="28"/>
        </w:rPr>
        <w:t xml:space="preserve"> il nostro modo di deliberare</w:t>
      </w:r>
      <w:r w:rsidR="005C3D41" w:rsidRPr="00263214">
        <w:rPr>
          <w:sz w:val="28"/>
          <w:szCs w:val="28"/>
        </w:rPr>
        <w:t xml:space="preserve"> e, quindi</w:t>
      </w:r>
      <w:r w:rsidR="00847A72" w:rsidRPr="00263214">
        <w:rPr>
          <w:sz w:val="28"/>
          <w:szCs w:val="28"/>
        </w:rPr>
        <w:t>,</w:t>
      </w:r>
      <w:r w:rsidR="005C3D41" w:rsidRPr="00263214">
        <w:rPr>
          <w:sz w:val="28"/>
          <w:szCs w:val="28"/>
        </w:rPr>
        <w:t xml:space="preserve"> di controllare</w:t>
      </w:r>
      <w:r w:rsidR="004710DE" w:rsidRPr="00263214">
        <w:rPr>
          <w:sz w:val="28"/>
          <w:szCs w:val="28"/>
        </w:rPr>
        <w:t xml:space="preserve"> e valutare</w:t>
      </w:r>
      <w:r w:rsidR="005C3D41" w:rsidRPr="00263214">
        <w:rPr>
          <w:sz w:val="28"/>
          <w:szCs w:val="28"/>
        </w:rPr>
        <w:t xml:space="preserve"> il nostro operato. </w:t>
      </w:r>
    </w:p>
    <w:p w14:paraId="0E70D1C0" w14:textId="77777777" w:rsidR="005C3D41" w:rsidRPr="00263214" w:rsidRDefault="005C3D41" w:rsidP="005C3D41">
      <w:pPr>
        <w:ind w:right="-7"/>
        <w:jc w:val="both"/>
        <w:rPr>
          <w:sz w:val="28"/>
          <w:szCs w:val="28"/>
        </w:rPr>
      </w:pPr>
      <w:r w:rsidRPr="00263214">
        <w:rPr>
          <w:sz w:val="28"/>
          <w:szCs w:val="28"/>
        </w:rPr>
        <w:t xml:space="preserve"> </w:t>
      </w:r>
    </w:p>
    <w:p w14:paraId="192B7391" w14:textId="77777777" w:rsidR="006A094E" w:rsidRPr="00847A72" w:rsidRDefault="00E07440" w:rsidP="005C3D41">
      <w:pPr>
        <w:pStyle w:val="Paragrafoelenco"/>
        <w:numPr>
          <w:ilvl w:val="0"/>
          <w:numId w:val="1"/>
        </w:numPr>
        <w:ind w:left="0" w:right="-7" w:firstLine="0"/>
        <w:jc w:val="both"/>
        <w:rPr>
          <w:sz w:val="28"/>
          <w:szCs w:val="28"/>
        </w:rPr>
      </w:pPr>
      <w:r>
        <w:rPr>
          <w:b/>
          <w:sz w:val="28"/>
          <w:szCs w:val="28"/>
        </w:rPr>
        <w:t>T</w:t>
      </w:r>
      <w:r w:rsidR="00E8740E">
        <w:rPr>
          <w:b/>
          <w:sz w:val="28"/>
          <w:szCs w:val="28"/>
        </w:rPr>
        <w:t>utte le soluzioni</w:t>
      </w:r>
      <w:r w:rsidR="006A094E" w:rsidRPr="00E8740E">
        <w:rPr>
          <w:b/>
          <w:sz w:val="28"/>
          <w:szCs w:val="28"/>
        </w:rPr>
        <w:t xml:space="preserve"> </w:t>
      </w:r>
      <w:r w:rsidR="00E8740E">
        <w:rPr>
          <w:b/>
          <w:sz w:val="28"/>
          <w:szCs w:val="28"/>
        </w:rPr>
        <w:t>rimangono</w:t>
      </w:r>
      <w:r w:rsidR="006A094E" w:rsidRPr="00E8740E">
        <w:rPr>
          <w:b/>
          <w:sz w:val="28"/>
          <w:szCs w:val="28"/>
        </w:rPr>
        <w:t xml:space="preserve"> aperte</w:t>
      </w:r>
      <w:r>
        <w:rPr>
          <w:b/>
          <w:sz w:val="28"/>
          <w:szCs w:val="28"/>
        </w:rPr>
        <w:t xml:space="preserve"> e</w:t>
      </w:r>
      <w:r w:rsidR="00E8740E">
        <w:rPr>
          <w:b/>
          <w:sz w:val="28"/>
          <w:szCs w:val="28"/>
        </w:rPr>
        <w:t xml:space="preserve"> rimesse alla libera discussione della Commissione</w:t>
      </w:r>
      <w:r w:rsidR="006A094E" w:rsidRPr="00E8740E">
        <w:rPr>
          <w:b/>
          <w:sz w:val="28"/>
          <w:szCs w:val="28"/>
        </w:rPr>
        <w:t xml:space="preserve">. </w:t>
      </w:r>
      <w:r w:rsidR="006A094E">
        <w:rPr>
          <w:sz w:val="28"/>
          <w:szCs w:val="28"/>
        </w:rPr>
        <w:t xml:space="preserve">Anche </w:t>
      </w:r>
      <w:r w:rsidR="00444067">
        <w:rPr>
          <w:sz w:val="28"/>
          <w:szCs w:val="28"/>
        </w:rPr>
        <w:t>l’</w:t>
      </w:r>
      <w:r w:rsidR="006A094E">
        <w:rPr>
          <w:i/>
          <w:sz w:val="28"/>
          <w:szCs w:val="28"/>
        </w:rPr>
        <w:t xml:space="preserve">opzione zero – </w:t>
      </w:r>
      <w:r w:rsidR="006A094E">
        <w:rPr>
          <w:sz w:val="28"/>
          <w:szCs w:val="28"/>
        </w:rPr>
        <w:t xml:space="preserve">mantenere l’assetto come si è consolidato sino ad oggi – è uno scenario da prendere in considerazione. </w:t>
      </w:r>
      <w:r w:rsidR="00444067">
        <w:rPr>
          <w:sz w:val="28"/>
          <w:szCs w:val="28"/>
        </w:rPr>
        <w:t xml:space="preserve">Ugualmente, </w:t>
      </w:r>
      <w:r w:rsidR="006A094E">
        <w:rPr>
          <w:sz w:val="28"/>
          <w:szCs w:val="28"/>
        </w:rPr>
        <w:t xml:space="preserve">potrebbe risultare opportuno ricorrere solo ad una disciplina delle Conferenze sul piano amministrativo (ad es., con un regolamento interno), o ancora apportare modifiche legislative. Oppure, potrebbe rivelarsi preferibile </w:t>
      </w:r>
      <w:r w:rsidR="00444067">
        <w:rPr>
          <w:sz w:val="28"/>
          <w:szCs w:val="28"/>
        </w:rPr>
        <w:t>una soluzione</w:t>
      </w:r>
      <w:r w:rsidR="006A094E">
        <w:rPr>
          <w:sz w:val="28"/>
          <w:szCs w:val="28"/>
        </w:rPr>
        <w:t xml:space="preserve"> che combini insieme queste prospettive</w:t>
      </w:r>
      <w:r w:rsidR="006A094E" w:rsidRPr="00263214">
        <w:rPr>
          <w:sz w:val="28"/>
          <w:szCs w:val="28"/>
        </w:rPr>
        <w:t>. La Commissione ha un ampio spazio di approfondimento. Vorrei</w:t>
      </w:r>
      <w:r w:rsidR="006A094E" w:rsidRPr="00847A72">
        <w:rPr>
          <w:sz w:val="28"/>
          <w:szCs w:val="28"/>
        </w:rPr>
        <w:t xml:space="preserve"> però che i lavori di questa commissione, così come le altre del passato, lasciassero una traccia</w:t>
      </w:r>
      <w:r w:rsidR="00444067" w:rsidRPr="00847A72">
        <w:rPr>
          <w:sz w:val="28"/>
          <w:szCs w:val="28"/>
        </w:rPr>
        <w:t xml:space="preserve"> significativa</w:t>
      </w:r>
      <w:r w:rsidR="006A094E" w:rsidRPr="00847A72">
        <w:rPr>
          <w:sz w:val="28"/>
          <w:szCs w:val="28"/>
        </w:rPr>
        <w:t>, così d</w:t>
      </w:r>
      <w:r w:rsidR="00A80AC7" w:rsidRPr="00847A72">
        <w:rPr>
          <w:sz w:val="28"/>
          <w:szCs w:val="28"/>
        </w:rPr>
        <w:t>a</w:t>
      </w:r>
      <w:r w:rsidR="006A094E" w:rsidRPr="00847A72">
        <w:rPr>
          <w:sz w:val="28"/>
          <w:szCs w:val="28"/>
        </w:rPr>
        <w:t xml:space="preserve"> rendere evidente il grado di maturazione della discussione </w:t>
      </w:r>
      <w:r w:rsidR="00E8740E" w:rsidRPr="00847A72">
        <w:rPr>
          <w:sz w:val="28"/>
          <w:szCs w:val="28"/>
        </w:rPr>
        <w:t xml:space="preserve">scientifica ed istituzionale e da orientare le scelte del futuro. </w:t>
      </w:r>
    </w:p>
    <w:p w14:paraId="32FD39B9" w14:textId="77777777" w:rsidR="006A094E" w:rsidRPr="006A094E" w:rsidRDefault="006A094E" w:rsidP="006A094E">
      <w:pPr>
        <w:pStyle w:val="Paragrafoelenco"/>
        <w:rPr>
          <w:sz w:val="28"/>
          <w:szCs w:val="28"/>
        </w:rPr>
      </w:pPr>
    </w:p>
    <w:p w14:paraId="379C42F4" w14:textId="5617DFAC" w:rsidR="008F3050" w:rsidRDefault="005C3D41" w:rsidP="005C3D41">
      <w:pPr>
        <w:pStyle w:val="Paragrafoelenco"/>
        <w:numPr>
          <w:ilvl w:val="0"/>
          <w:numId w:val="1"/>
        </w:numPr>
        <w:ind w:left="0" w:right="-7" w:firstLine="0"/>
        <w:jc w:val="both"/>
        <w:rPr>
          <w:sz w:val="28"/>
          <w:szCs w:val="28"/>
        </w:rPr>
      </w:pPr>
      <w:r>
        <w:rPr>
          <w:sz w:val="28"/>
          <w:szCs w:val="28"/>
        </w:rPr>
        <w:t xml:space="preserve">Non mi nascondo, ovviamente, che </w:t>
      </w:r>
      <w:r w:rsidRPr="00263214">
        <w:rPr>
          <w:sz w:val="28"/>
          <w:szCs w:val="28"/>
        </w:rPr>
        <w:t>l’oggetto di questa Commissione potrebbe risentire del dibattito e delle scelte del Governo e del Parlamento in tema di</w:t>
      </w:r>
      <w:r w:rsidRPr="004710DE">
        <w:rPr>
          <w:b/>
          <w:sz w:val="28"/>
          <w:szCs w:val="28"/>
        </w:rPr>
        <w:t xml:space="preserve"> riforme costituzional</w:t>
      </w:r>
      <w:r w:rsidR="00972056" w:rsidRPr="004710DE">
        <w:rPr>
          <w:b/>
          <w:sz w:val="28"/>
          <w:szCs w:val="28"/>
        </w:rPr>
        <w:t>i.</w:t>
      </w:r>
      <w:r w:rsidR="00972056">
        <w:rPr>
          <w:sz w:val="28"/>
          <w:szCs w:val="28"/>
        </w:rPr>
        <w:t xml:space="preserve"> </w:t>
      </w:r>
      <w:r w:rsidR="004710DE">
        <w:rPr>
          <w:sz w:val="28"/>
          <w:szCs w:val="28"/>
        </w:rPr>
        <w:t>A questo proposito,</w:t>
      </w:r>
      <w:r w:rsidR="00972056">
        <w:rPr>
          <w:sz w:val="28"/>
          <w:szCs w:val="28"/>
        </w:rPr>
        <w:t xml:space="preserve"> un tema già posto in </w:t>
      </w:r>
      <w:r w:rsidR="004710DE">
        <w:rPr>
          <w:sz w:val="28"/>
          <w:szCs w:val="28"/>
        </w:rPr>
        <w:t xml:space="preserve">apertura di </w:t>
      </w:r>
      <w:r w:rsidR="00972056">
        <w:rPr>
          <w:sz w:val="28"/>
          <w:szCs w:val="28"/>
        </w:rPr>
        <w:t>questa legislatura</w:t>
      </w:r>
      <w:r w:rsidR="004710DE">
        <w:rPr>
          <w:sz w:val="28"/>
          <w:szCs w:val="28"/>
        </w:rPr>
        <w:t xml:space="preserve"> proprio dall</w:t>
      </w:r>
      <w:r w:rsidR="00B627D8">
        <w:rPr>
          <w:sz w:val="28"/>
          <w:szCs w:val="28"/>
        </w:rPr>
        <w:t>e</w:t>
      </w:r>
      <w:r w:rsidR="004710DE">
        <w:rPr>
          <w:sz w:val="28"/>
          <w:szCs w:val="28"/>
        </w:rPr>
        <w:t xml:space="preserve"> Regioni, </w:t>
      </w:r>
      <w:r w:rsidR="00972056">
        <w:rPr>
          <w:sz w:val="28"/>
          <w:szCs w:val="28"/>
        </w:rPr>
        <w:t xml:space="preserve">è stato </w:t>
      </w:r>
      <w:r w:rsidR="00972056" w:rsidRPr="00263214">
        <w:rPr>
          <w:sz w:val="28"/>
          <w:szCs w:val="28"/>
        </w:rPr>
        <w:t>la costituzionalizzazione del sistema delle Conferenze</w:t>
      </w:r>
      <w:r w:rsidR="00972056" w:rsidRPr="00263214">
        <w:rPr>
          <w:rStyle w:val="Rimandonotaapidipagina"/>
          <w:sz w:val="28"/>
          <w:szCs w:val="28"/>
        </w:rPr>
        <w:footnoteReference w:id="3"/>
      </w:r>
      <w:r w:rsidR="00972056" w:rsidRPr="00263214">
        <w:rPr>
          <w:sz w:val="28"/>
          <w:szCs w:val="28"/>
        </w:rPr>
        <w:t>. Vorrei però evitare l’atteggiamento per cui</w:t>
      </w:r>
      <w:r w:rsidR="00E07440" w:rsidRPr="00263214">
        <w:rPr>
          <w:sz w:val="28"/>
          <w:szCs w:val="28"/>
        </w:rPr>
        <w:t>,</w:t>
      </w:r>
      <w:r w:rsidR="00972056" w:rsidRPr="00263214">
        <w:rPr>
          <w:sz w:val="28"/>
          <w:szCs w:val="28"/>
        </w:rPr>
        <w:t xml:space="preserve"> </w:t>
      </w:r>
      <w:r w:rsidR="00972056" w:rsidRPr="00263214">
        <w:rPr>
          <w:i/>
          <w:sz w:val="28"/>
          <w:szCs w:val="28"/>
        </w:rPr>
        <w:t xml:space="preserve">in attesa delle riforme costituzionali, non si </w:t>
      </w:r>
      <w:r w:rsidR="007D1D31" w:rsidRPr="00263214">
        <w:rPr>
          <w:i/>
          <w:sz w:val="28"/>
          <w:szCs w:val="28"/>
        </w:rPr>
        <w:t>adegua</w:t>
      </w:r>
      <w:r w:rsidR="00B627D8">
        <w:rPr>
          <w:i/>
          <w:sz w:val="28"/>
          <w:szCs w:val="28"/>
        </w:rPr>
        <w:t>no</w:t>
      </w:r>
      <w:r w:rsidR="00972056" w:rsidRPr="00263214">
        <w:rPr>
          <w:i/>
          <w:sz w:val="28"/>
          <w:szCs w:val="28"/>
        </w:rPr>
        <w:t xml:space="preserve"> la legislazione ordinaria e, più in generale, i rapporti istituzionali fra Stato, Regioni, enti locali</w:t>
      </w:r>
      <w:r w:rsidR="007D1D31" w:rsidRPr="00263214">
        <w:rPr>
          <w:i/>
          <w:sz w:val="28"/>
          <w:szCs w:val="28"/>
        </w:rPr>
        <w:t>,</w:t>
      </w:r>
      <w:r w:rsidR="007D1D31">
        <w:rPr>
          <w:i/>
          <w:sz w:val="28"/>
          <w:szCs w:val="28"/>
        </w:rPr>
        <w:t xml:space="preserve"> </w:t>
      </w:r>
      <w:r w:rsidR="007D1D31">
        <w:rPr>
          <w:sz w:val="28"/>
          <w:szCs w:val="28"/>
        </w:rPr>
        <w:t>anche in una ottica di contenimento del contenzioso costituzionale (che è uno degli obiettivi che mi sono dato nell’esercizio de</w:t>
      </w:r>
      <w:r w:rsidR="00A80AC7">
        <w:rPr>
          <w:sz w:val="28"/>
          <w:szCs w:val="28"/>
        </w:rPr>
        <w:t>l</w:t>
      </w:r>
      <w:r w:rsidR="007D1D31">
        <w:rPr>
          <w:sz w:val="28"/>
          <w:szCs w:val="28"/>
        </w:rPr>
        <w:t xml:space="preserve"> mio mandato).</w:t>
      </w:r>
      <w:r w:rsidR="00972056">
        <w:rPr>
          <w:i/>
          <w:sz w:val="28"/>
          <w:szCs w:val="28"/>
        </w:rPr>
        <w:t xml:space="preserve"> </w:t>
      </w:r>
      <w:proofErr w:type="gramStart"/>
      <w:r w:rsidR="00847A72">
        <w:rPr>
          <w:sz w:val="28"/>
          <w:szCs w:val="28"/>
        </w:rPr>
        <w:t>E’</w:t>
      </w:r>
      <w:proofErr w:type="gramEnd"/>
      <w:r w:rsidR="00847A72">
        <w:rPr>
          <w:sz w:val="28"/>
          <w:szCs w:val="28"/>
        </w:rPr>
        <w:t xml:space="preserve"> necessario dedicare anche </w:t>
      </w:r>
      <w:r w:rsidR="00972056">
        <w:rPr>
          <w:sz w:val="28"/>
          <w:szCs w:val="28"/>
        </w:rPr>
        <w:t xml:space="preserve">una </w:t>
      </w:r>
      <w:r w:rsidR="00972056" w:rsidRPr="004710DE">
        <w:rPr>
          <w:b/>
          <w:sz w:val="28"/>
          <w:szCs w:val="28"/>
        </w:rPr>
        <w:t xml:space="preserve">puntuale attenzione </w:t>
      </w:r>
      <w:r w:rsidR="00A80AC7">
        <w:rPr>
          <w:b/>
          <w:sz w:val="28"/>
          <w:szCs w:val="28"/>
        </w:rPr>
        <w:t>al</w:t>
      </w:r>
      <w:r w:rsidR="007D1D31" w:rsidRPr="004710DE">
        <w:rPr>
          <w:b/>
          <w:sz w:val="28"/>
          <w:szCs w:val="28"/>
        </w:rPr>
        <w:t>la “manutenzione”</w:t>
      </w:r>
      <w:r w:rsidR="004710DE">
        <w:rPr>
          <w:b/>
          <w:sz w:val="28"/>
          <w:szCs w:val="28"/>
        </w:rPr>
        <w:t xml:space="preserve"> </w:t>
      </w:r>
      <w:r w:rsidR="004710DE" w:rsidRPr="004710DE">
        <w:rPr>
          <w:b/>
          <w:sz w:val="28"/>
          <w:szCs w:val="28"/>
        </w:rPr>
        <w:t xml:space="preserve">dei </w:t>
      </w:r>
      <w:r w:rsidR="00972056" w:rsidRPr="004710DE">
        <w:rPr>
          <w:b/>
          <w:sz w:val="28"/>
          <w:szCs w:val="28"/>
        </w:rPr>
        <w:t>meccanismi istituzionali</w:t>
      </w:r>
      <w:r w:rsidR="00972056">
        <w:rPr>
          <w:sz w:val="28"/>
          <w:szCs w:val="28"/>
        </w:rPr>
        <w:t>. È con questo spirito che ho inteso istituire questa Commissione di studio ed analisi</w:t>
      </w:r>
      <w:r w:rsidR="007D1D31">
        <w:rPr>
          <w:sz w:val="28"/>
          <w:szCs w:val="28"/>
        </w:rPr>
        <w:t>, alla quale vi ringrazio di prendere parte</w:t>
      </w:r>
      <w:r w:rsidR="004710DE">
        <w:rPr>
          <w:sz w:val="28"/>
          <w:szCs w:val="28"/>
        </w:rPr>
        <w:t xml:space="preserve"> e di cui seguirò i lavori con </w:t>
      </w:r>
      <w:r w:rsidR="00B627D8">
        <w:rPr>
          <w:sz w:val="28"/>
          <w:szCs w:val="28"/>
        </w:rPr>
        <w:t>il massimo</w:t>
      </w:r>
      <w:r w:rsidR="004710DE">
        <w:rPr>
          <w:sz w:val="28"/>
          <w:szCs w:val="28"/>
        </w:rPr>
        <w:t xml:space="preserve"> interesse. </w:t>
      </w:r>
    </w:p>
    <w:p w14:paraId="00C14ED4" w14:textId="77777777" w:rsidR="00E07440" w:rsidRPr="005C3D41" w:rsidRDefault="00E07440" w:rsidP="00E07440">
      <w:pPr>
        <w:pStyle w:val="Paragrafoelenco"/>
        <w:ind w:left="0" w:right="-7"/>
        <w:jc w:val="both"/>
        <w:rPr>
          <w:sz w:val="28"/>
          <w:szCs w:val="28"/>
        </w:rPr>
      </w:pPr>
      <w:r>
        <w:rPr>
          <w:sz w:val="28"/>
          <w:szCs w:val="28"/>
        </w:rPr>
        <w:t>Buon lavoro!</w:t>
      </w:r>
    </w:p>
    <w:sectPr w:rsidR="00E07440" w:rsidRPr="005C3D41" w:rsidSect="007D7E3A">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4519" w14:textId="77777777" w:rsidR="007F29CD" w:rsidRDefault="007F29CD" w:rsidP="003A6589">
      <w:r>
        <w:separator/>
      </w:r>
    </w:p>
  </w:endnote>
  <w:endnote w:type="continuationSeparator" w:id="0">
    <w:p w14:paraId="0DEB17EB" w14:textId="77777777" w:rsidR="007F29CD" w:rsidRDefault="007F29CD" w:rsidP="003A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12545733"/>
      <w:docPartObj>
        <w:docPartGallery w:val="Page Numbers (Bottom of Page)"/>
        <w:docPartUnique/>
      </w:docPartObj>
    </w:sdtPr>
    <w:sdtEndPr>
      <w:rPr>
        <w:rStyle w:val="Numeropagina"/>
      </w:rPr>
    </w:sdtEndPr>
    <w:sdtContent>
      <w:p w14:paraId="40F52F94" w14:textId="77777777" w:rsidR="003A6589" w:rsidRDefault="003A6589" w:rsidP="005939D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92F1F07" w14:textId="77777777" w:rsidR="003A6589" w:rsidRDefault="003A6589" w:rsidP="003A658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0904965"/>
      <w:docPartObj>
        <w:docPartGallery w:val="Page Numbers (Bottom of Page)"/>
        <w:docPartUnique/>
      </w:docPartObj>
    </w:sdtPr>
    <w:sdtEndPr>
      <w:rPr>
        <w:rStyle w:val="Numeropagina"/>
      </w:rPr>
    </w:sdtEndPr>
    <w:sdtContent>
      <w:p w14:paraId="2D544720" w14:textId="77777777" w:rsidR="003A6589" w:rsidRDefault="003A6589" w:rsidP="005939D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97491">
          <w:rPr>
            <w:rStyle w:val="Numeropagina"/>
            <w:noProof/>
          </w:rPr>
          <w:t>3</w:t>
        </w:r>
        <w:r>
          <w:rPr>
            <w:rStyle w:val="Numeropagina"/>
          </w:rPr>
          <w:fldChar w:fldCharType="end"/>
        </w:r>
      </w:p>
    </w:sdtContent>
  </w:sdt>
  <w:p w14:paraId="15395498" w14:textId="77777777" w:rsidR="003A6589" w:rsidRDefault="003A6589" w:rsidP="003A658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9D9BC" w14:textId="77777777" w:rsidR="007F29CD" w:rsidRDefault="007F29CD" w:rsidP="003A6589">
      <w:r>
        <w:separator/>
      </w:r>
    </w:p>
  </w:footnote>
  <w:footnote w:type="continuationSeparator" w:id="0">
    <w:p w14:paraId="4CAECAE7" w14:textId="77777777" w:rsidR="007F29CD" w:rsidRDefault="007F29CD" w:rsidP="003A6589">
      <w:r>
        <w:continuationSeparator/>
      </w:r>
    </w:p>
  </w:footnote>
  <w:footnote w:id="1">
    <w:p w14:paraId="1B59DA7F" w14:textId="77777777" w:rsidR="00050B31" w:rsidRPr="00050B31" w:rsidRDefault="00050B31" w:rsidP="00050B31">
      <w:pPr>
        <w:pStyle w:val="Testonotaapidipagina"/>
      </w:pPr>
      <w:r>
        <w:rPr>
          <w:rStyle w:val="Rimandonotaapidipagina"/>
        </w:rPr>
        <w:footnoteRef/>
      </w:r>
      <w:r>
        <w:t xml:space="preserve"> </w:t>
      </w:r>
      <w:r w:rsidRPr="00050B31">
        <w:t xml:space="preserve">Commissione ministeriale di studio istituita con decreto del Presidente del Consiglio dei ministri 20 novembre 1980 (su proposta del ministro Giannini) e presieduta da Franco Bassanini, con il compito di </w:t>
      </w:r>
      <w:r w:rsidR="00456B26">
        <w:rPr>
          <w:rFonts w:ascii="Times" w:hAnsi="Times"/>
        </w:rPr>
        <w:t>«</w:t>
      </w:r>
      <w:r w:rsidRPr="00050B31">
        <w:t>delineare un nuovo quadro di riferimento complessivo dei rapporti tra Stato e Regioni, nel cui ambito individuare e formulare soluzioni propositive da tradurre in schema di disegno di legge, in ordine ai vari aspetti di tali rapporti</w:t>
      </w:r>
      <w:r w:rsidR="00456B26">
        <w:rPr>
          <w:rFonts w:ascii="Times" w:hAnsi="Times"/>
        </w:rPr>
        <w:t>»</w:t>
      </w:r>
      <w:r w:rsidRPr="00050B31">
        <w:t xml:space="preserve">. </w:t>
      </w:r>
    </w:p>
    <w:p w14:paraId="61200B95" w14:textId="77777777" w:rsidR="00050B31" w:rsidRDefault="00050B31">
      <w:pPr>
        <w:pStyle w:val="Testonotaapidipagina"/>
      </w:pPr>
    </w:p>
  </w:footnote>
  <w:footnote w:id="2">
    <w:p w14:paraId="25693DFB" w14:textId="77777777" w:rsidR="004710DE" w:rsidRDefault="004710DE">
      <w:pPr>
        <w:pStyle w:val="Testonotaapidipagina"/>
      </w:pPr>
      <w:r>
        <w:rPr>
          <w:rStyle w:val="Rimandonotaapidipagina"/>
        </w:rPr>
        <w:footnoteRef/>
      </w:r>
      <w:r>
        <w:t xml:space="preserve"> </w:t>
      </w:r>
      <w:r w:rsidRPr="004710DE">
        <w:t>Osservazioni generali sulla Costituzione, Federalista, n. 84</w:t>
      </w:r>
      <w:r>
        <w:t>,</w:t>
      </w:r>
      <w:r w:rsidRPr="004710DE">
        <w:t xml:space="preserve"> in Antologia degli scritti politici, p. 144</w:t>
      </w:r>
    </w:p>
  </w:footnote>
  <w:footnote w:id="3">
    <w:p w14:paraId="517B7A68" w14:textId="77777777" w:rsidR="00050B31" w:rsidRPr="00050B31" w:rsidRDefault="00972056" w:rsidP="00050B31">
      <w:pPr>
        <w:pStyle w:val="Testonotaapidipagina"/>
      </w:pPr>
      <w:r>
        <w:rPr>
          <w:rStyle w:val="Rimandonotaapidipagina"/>
        </w:rPr>
        <w:footnoteRef/>
      </w:r>
      <w:r>
        <w:t xml:space="preserve"> </w:t>
      </w:r>
      <w:r w:rsidR="00050B31">
        <w:t xml:space="preserve">Cfr. la proposta di costituzionalizzazione delle Conferenze avanzata dal </w:t>
      </w:r>
      <w:r w:rsidR="00050B31" w:rsidRPr="00050B31">
        <w:t xml:space="preserve">presidente della Conferenza delle Regioni </w:t>
      </w:r>
      <w:r w:rsidR="00050B31">
        <w:t>nel corso del</w:t>
      </w:r>
      <w:r w:rsidR="00050B31" w:rsidRPr="00050B31">
        <w:t xml:space="preserve"> Festival delle Regioni e delle Province autonome</w:t>
      </w:r>
      <w:r w:rsidR="00E8740E">
        <w:t xml:space="preserve"> (dicembre 2022)</w:t>
      </w:r>
      <w:r w:rsidR="00050B31" w:rsidRPr="00050B31">
        <w:t>.</w:t>
      </w:r>
    </w:p>
    <w:p w14:paraId="0913D8C7" w14:textId="77777777" w:rsidR="00972056" w:rsidRDefault="00972056">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673DC"/>
    <w:multiLevelType w:val="multilevel"/>
    <w:tmpl w:val="1C7C0E7A"/>
    <w:lvl w:ilvl="0">
      <w:start w:val="1"/>
      <w:numFmt w:val="decimal"/>
      <w:lvlText w:val="%1."/>
      <w:lvlJc w:val="left"/>
      <w:pPr>
        <w:ind w:left="720" w:hanging="360"/>
      </w:pPr>
      <w:rPr>
        <w:rFonts w:hint="default"/>
      </w:rPr>
    </w:lvl>
    <w:lvl w:ilvl="1">
      <w:start w:val="1"/>
      <w:numFmt w:val="decimal"/>
      <w:isLgl/>
      <w:lvlText w:val="%1.%2"/>
      <w:lvlJc w:val="left"/>
      <w:pPr>
        <w:ind w:left="1180" w:hanging="48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1" w15:restartNumberingAfterBreak="0">
    <w:nsid w:val="28893DC7"/>
    <w:multiLevelType w:val="hybridMultilevel"/>
    <w:tmpl w:val="03DE9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F65B44"/>
    <w:multiLevelType w:val="multilevel"/>
    <w:tmpl w:val="1C7C0E7A"/>
    <w:lvl w:ilvl="0">
      <w:start w:val="1"/>
      <w:numFmt w:val="decimal"/>
      <w:lvlText w:val="%1."/>
      <w:lvlJc w:val="left"/>
      <w:pPr>
        <w:ind w:left="720" w:hanging="360"/>
      </w:pPr>
      <w:rPr>
        <w:rFonts w:hint="default"/>
      </w:rPr>
    </w:lvl>
    <w:lvl w:ilvl="1">
      <w:start w:val="1"/>
      <w:numFmt w:val="decimal"/>
      <w:isLgl/>
      <w:lvlText w:val="%1.%2"/>
      <w:lvlJc w:val="left"/>
      <w:pPr>
        <w:ind w:left="1180" w:hanging="48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3" w15:restartNumberingAfterBreak="0">
    <w:nsid w:val="4E7818D5"/>
    <w:multiLevelType w:val="hybridMultilevel"/>
    <w:tmpl w:val="F2AA23FC"/>
    <w:lvl w:ilvl="0" w:tplc="C22ED48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4BB4829"/>
    <w:multiLevelType w:val="hybridMultilevel"/>
    <w:tmpl w:val="253CB750"/>
    <w:lvl w:ilvl="0" w:tplc="5778F9C2">
      <w:start w:val="1"/>
      <w:numFmt w:val="lowerLetter"/>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11"/>
    <w:rsid w:val="000148C1"/>
    <w:rsid w:val="00050B31"/>
    <w:rsid w:val="000C6803"/>
    <w:rsid w:val="00126869"/>
    <w:rsid w:val="001D5F03"/>
    <w:rsid w:val="001E44DA"/>
    <w:rsid w:val="001E6D5A"/>
    <w:rsid w:val="00217E4B"/>
    <w:rsid w:val="00221F32"/>
    <w:rsid w:val="00263214"/>
    <w:rsid w:val="00264369"/>
    <w:rsid w:val="002D7211"/>
    <w:rsid w:val="00370763"/>
    <w:rsid w:val="003A6589"/>
    <w:rsid w:val="003B4AE0"/>
    <w:rsid w:val="004022A9"/>
    <w:rsid w:val="00444067"/>
    <w:rsid w:val="00456B26"/>
    <w:rsid w:val="004710DE"/>
    <w:rsid w:val="00493535"/>
    <w:rsid w:val="0057785D"/>
    <w:rsid w:val="005C3D41"/>
    <w:rsid w:val="00660DE4"/>
    <w:rsid w:val="0066623C"/>
    <w:rsid w:val="00676A99"/>
    <w:rsid w:val="00697491"/>
    <w:rsid w:val="006A094E"/>
    <w:rsid w:val="006C082B"/>
    <w:rsid w:val="006D19B5"/>
    <w:rsid w:val="00795B20"/>
    <w:rsid w:val="007A5A3C"/>
    <w:rsid w:val="007B4742"/>
    <w:rsid w:val="007D1D31"/>
    <w:rsid w:val="007D7E3A"/>
    <w:rsid w:val="007F29CD"/>
    <w:rsid w:val="007F5C93"/>
    <w:rsid w:val="00847A72"/>
    <w:rsid w:val="008D2723"/>
    <w:rsid w:val="008E04B0"/>
    <w:rsid w:val="008F3050"/>
    <w:rsid w:val="00957201"/>
    <w:rsid w:val="00972056"/>
    <w:rsid w:val="009D10C4"/>
    <w:rsid w:val="00A22111"/>
    <w:rsid w:val="00A80AC7"/>
    <w:rsid w:val="00B627D8"/>
    <w:rsid w:val="00BA1242"/>
    <w:rsid w:val="00C034D3"/>
    <w:rsid w:val="00C56B67"/>
    <w:rsid w:val="00CD4B6C"/>
    <w:rsid w:val="00CF2A0A"/>
    <w:rsid w:val="00CF2A2B"/>
    <w:rsid w:val="00D02272"/>
    <w:rsid w:val="00D36581"/>
    <w:rsid w:val="00D810F4"/>
    <w:rsid w:val="00E07440"/>
    <w:rsid w:val="00E8740E"/>
    <w:rsid w:val="00ED69A9"/>
    <w:rsid w:val="00F85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0A5B"/>
  <w15:chartTrackingRefBased/>
  <w15:docId w15:val="{446F51F1-2C9E-4C47-AF95-F74BD9EC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2111"/>
    <w:pPr>
      <w:ind w:left="720"/>
      <w:contextualSpacing/>
    </w:pPr>
  </w:style>
  <w:style w:type="character" w:styleId="Enfasigrassetto">
    <w:name w:val="Strong"/>
    <w:basedOn w:val="Carpredefinitoparagrafo"/>
    <w:uiPriority w:val="22"/>
    <w:qFormat/>
    <w:rsid w:val="0066623C"/>
    <w:rPr>
      <w:b/>
      <w:bCs/>
    </w:rPr>
  </w:style>
  <w:style w:type="character" w:styleId="Collegamentoipertestuale">
    <w:name w:val="Hyperlink"/>
    <w:basedOn w:val="Carpredefinitoparagrafo"/>
    <w:uiPriority w:val="99"/>
    <w:unhideWhenUsed/>
    <w:rsid w:val="0066623C"/>
    <w:rPr>
      <w:color w:val="0000FF"/>
      <w:u w:val="single"/>
    </w:rPr>
  </w:style>
  <w:style w:type="character" w:customStyle="1" w:styleId="Menzionenonrisolta1">
    <w:name w:val="Menzione non risolta1"/>
    <w:basedOn w:val="Carpredefinitoparagrafo"/>
    <w:uiPriority w:val="99"/>
    <w:semiHidden/>
    <w:unhideWhenUsed/>
    <w:rsid w:val="00126869"/>
    <w:rPr>
      <w:color w:val="605E5C"/>
      <w:shd w:val="clear" w:color="auto" w:fill="E1DFDD"/>
    </w:rPr>
  </w:style>
  <w:style w:type="paragraph" w:styleId="Pidipagina">
    <w:name w:val="footer"/>
    <w:basedOn w:val="Normale"/>
    <w:link w:val="PidipaginaCarattere"/>
    <w:uiPriority w:val="99"/>
    <w:unhideWhenUsed/>
    <w:rsid w:val="003A6589"/>
    <w:pPr>
      <w:tabs>
        <w:tab w:val="center" w:pos="4819"/>
        <w:tab w:val="right" w:pos="9638"/>
      </w:tabs>
    </w:pPr>
  </w:style>
  <w:style w:type="character" w:customStyle="1" w:styleId="PidipaginaCarattere">
    <w:name w:val="Piè di pagina Carattere"/>
    <w:basedOn w:val="Carpredefinitoparagrafo"/>
    <w:link w:val="Pidipagina"/>
    <w:uiPriority w:val="99"/>
    <w:rsid w:val="003A6589"/>
  </w:style>
  <w:style w:type="character" w:styleId="Numeropagina">
    <w:name w:val="page number"/>
    <w:basedOn w:val="Carpredefinitoparagrafo"/>
    <w:uiPriority w:val="99"/>
    <w:semiHidden/>
    <w:unhideWhenUsed/>
    <w:rsid w:val="003A6589"/>
  </w:style>
  <w:style w:type="paragraph" w:styleId="NormaleWeb">
    <w:name w:val="Normal (Web)"/>
    <w:basedOn w:val="Normale"/>
    <w:uiPriority w:val="99"/>
    <w:semiHidden/>
    <w:unhideWhenUsed/>
    <w:rsid w:val="00BA1242"/>
    <w:rPr>
      <w:rFonts w:ascii="Times New Roman" w:hAnsi="Times New Roman" w:cs="Times New Roman"/>
    </w:rPr>
  </w:style>
  <w:style w:type="paragraph" w:styleId="Testonotaapidipagina">
    <w:name w:val="footnote text"/>
    <w:basedOn w:val="Normale"/>
    <w:link w:val="TestonotaapidipaginaCarattere"/>
    <w:uiPriority w:val="99"/>
    <w:semiHidden/>
    <w:unhideWhenUsed/>
    <w:rsid w:val="00972056"/>
    <w:rPr>
      <w:sz w:val="20"/>
      <w:szCs w:val="20"/>
    </w:rPr>
  </w:style>
  <w:style w:type="character" w:customStyle="1" w:styleId="TestonotaapidipaginaCarattere">
    <w:name w:val="Testo nota a piè di pagina Carattere"/>
    <w:basedOn w:val="Carpredefinitoparagrafo"/>
    <w:link w:val="Testonotaapidipagina"/>
    <w:uiPriority w:val="99"/>
    <w:semiHidden/>
    <w:rsid w:val="00972056"/>
    <w:rPr>
      <w:sz w:val="20"/>
      <w:szCs w:val="20"/>
    </w:rPr>
  </w:style>
  <w:style w:type="character" w:styleId="Rimandonotaapidipagina">
    <w:name w:val="footnote reference"/>
    <w:basedOn w:val="Carpredefinitoparagrafo"/>
    <w:uiPriority w:val="99"/>
    <w:semiHidden/>
    <w:unhideWhenUsed/>
    <w:rsid w:val="00972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252">
      <w:bodyDiv w:val="1"/>
      <w:marLeft w:val="0"/>
      <w:marRight w:val="0"/>
      <w:marTop w:val="0"/>
      <w:marBottom w:val="0"/>
      <w:divBdr>
        <w:top w:val="none" w:sz="0" w:space="0" w:color="auto"/>
        <w:left w:val="none" w:sz="0" w:space="0" w:color="auto"/>
        <w:bottom w:val="none" w:sz="0" w:space="0" w:color="auto"/>
        <w:right w:val="none" w:sz="0" w:space="0" w:color="auto"/>
      </w:divBdr>
    </w:div>
    <w:div w:id="20673215">
      <w:bodyDiv w:val="1"/>
      <w:marLeft w:val="0"/>
      <w:marRight w:val="0"/>
      <w:marTop w:val="0"/>
      <w:marBottom w:val="0"/>
      <w:divBdr>
        <w:top w:val="none" w:sz="0" w:space="0" w:color="auto"/>
        <w:left w:val="none" w:sz="0" w:space="0" w:color="auto"/>
        <w:bottom w:val="none" w:sz="0" w:space="0" w:color="auto"/>
        <w:right w:val="none" w:sz="0" w:space="0" w:color="auto"/>
      </w:divBdr>
    </w:div>
    <w:div w:id="225575119">
      <w:bodyDiv w:val="1"/>
      <w:marLeft w:val="0"/>
      <w:marRight w:val="0"/>
      <w:marTop w:val="0"/>
      <w:marBottom w:val="0"/>
      <w:divBdr>
        <w:top w:val="none" w:sz="0" w:space="0" w:color="auto"/>
        <w:left w:val="none" w:sz="0" w:space="0" w:color="auto"/>
        <w:bottom w:val="none" w:sz="0" w:space="0" w:color="auto"/>
        <w:right w:val="none" w:sz="0" w:space="0" w:color="auto"/>
      </w:divBdr>
    </w:div>
    <w:div w:id="237983422">
      <w:bodyDiv w:val="1"/>
      <w:marLeft w:val="0"/>
      <w:marRight w:val="0"/>
      <w:marTop w:val="0"/>
      <w:marBottom w:val="0"/>
      <w:divBdr>
        <w:top w:val="none" w:sz="0" w:space="0" w:color="auto"/>
        <w:left w:val="none" w:sz="0" w:space="0" w:color="auto"/>
        <w:bottom w:val="none" w:sz="0" w:space="0" w:color="auto"/>
        <w:right w:val="none" w:sz="0" w:space="0" w:color="auto"/>
      </w:divBdr>
    </w:div>
    <w:div w:id="254365504">
      <w:bodyDiv w:val="1"/>
      <w:marLeft w:val="0"/>
      <w:marRight w:val="0"/>
      <w:marTop w:val="0"/>
      <w:marBottom w:val="0"/>
      <w:divBdr>
        <w:top w:val="none" w:sz="0" w:space="0" w:color="auto"/>
        <w:left w:val="none" w:sz="0" w:space="0" w:color="auto"/>
        <w:bottom w:val="none" w:sz="0" w:space="0" w:color="auto"/>
        <w:right w:val="none" w:sz="0" w:space="0" w:color="auto"/>
      </w:divBdr>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29866677">
      <w:bodyDiv w:val="1"/>
      <w:marLeft w:val="0"/>
      <w:marRight w:val="0"/>
      <w:marTop w:val="0"/>
      <w:marBottom w:val="0"/>
      <w:divBdr>
        <w:top w:val="none" w:sz="0" w:space="0" w:color="auto"/>
        <w:left w:val="none" w:sz="0" w:space="0" w:color="auto"/>
        <w:bottom w:val="none" w:sz="0" w:space="0" w:color="auto"/>
        <w:right w:val="none" w:sz="0" w:space="0" w:color="auto"/>
      </w:divBdr>
    </w:div>
    <w:div w:id="401873521">
      <w:bodyDiv w:val="1"/>
      <w:marLeft w:val="0"/>
      <w:marRight w:val="0"/>
      <w:marTop w:val="0"/>
      <w:marBottom w:val="0"/>
      <w:divBdr>
        <w:top w:val="none" w:sz="0" w:space="0" w:color="auto"/>
        <w:left w:val="none" w:sz="0" w:space="0" w:color="auto"/>
        <w:bottom w:val="none" w:sz="0" w:space="0" w:color="auto"/>
        <w:right w:val="none" w:sz="0" w:space="0" w:color="auto"/>
      </w:divBdr>
    </w:div>
    <w:div w:id="456486317">
      <w:bodyDiv w:val="1"/>
      <w:marLeft w:val="0"/>
      <w:marRight w:val="0"/>
      <w:marTop w:val="0"/>
      <w:marBottom w:val="0"/>
      <w:divBdr>
        <w:top w:val="none" w:sz="0" w:space="0" w:color="auto"/>
        <w:left w:val="none" w:sz="0" w:space="0" w:color="auto"/>
        <w:bottom w:val="none" w:sz="0" w:space="0" w:color="auto"/>
        <w:right w:val="none" w:sz="0" w:space="0" w:color="auto"/>
      </w:divBdr>
    </w:div>
    <w:div w:id="508329429">
      <w:bodyDiv w:val="1"/>
      <w:marLeft w:val="0"/>
      <w:marRight w:val="0"/>
      <w:marTop w:val="0"/>
      <w:marBottom w:val="0"/>
      <w:divBdr>
        <w:top w:val="none" w:sz="0" w:space="0" w:color="auto"/>
        <w:left w:val="none" w:sz="0" w:space="0" w:color="auto"/>
        <w:bottom w:val="none" w:sz="0" w:space="0" w:color="auto"/>
        <w:right w:val="none" w:sz="0" w:space="0" w:color="auto"/>
      </w:divBdr>
    </w:div>
    <w:div w:id="654724695">
      <w:bodyDiv w:val="1"/>
      <w:marLeft w:val="0"/>
      <w:marRight w:val="0"/>
      <w:marTop w:val="0"/>
      <w:marBottom w:val="0"/>
      <w:divBdr>
        <w:top w:val="none" w:sz="0" w:space="0" w:color="auto"/>
        <w:left w:val="none" w:sz="0" w:space="0" w:color="auto"/>
        <w:bottom w:val="none" w:sz="0" w:space="0" w:color="auto"/>
        <w:right w:val="none" w:sz="0" w:space="0" w:color="auto"/>
      </w:divBdr>
    </w:div>
    <w:div w:id="660432536">
      <w:bodyDiv w:val="1"/>
      <w:marLeft w:val="0"/>
      <w:marRight w:val="0"/>
      <w:marTop w:val="0"/>
      <w:marBottom w:val="0"/>
      <w:divBdr>
        <w:top w:val="none" w:sz="0" w:space="0" w:color="auto"/>
        <w:left w:val="none" w:sz="0" w:space="0" w:color="auto"/>
        <w:bottom w:val="none" w:sz="0" w:space="0" w:color="auto"/>
        <w:right w:val="none" w:sz="0" w:space="0" w:color="auto"/>
      </w:divBdr>
    </w:div>
    <w:div w:id="704864844">
      <w:bodyDiv w:val="1"/>
      <w:marLeft w:val="0"/>
      <w:marRight w:val="0"/>
      <w:marTop w:val="0"/>
      <w:marBottom w:val="0"/>
      <w:divBdr>
        <w:top w:val="none" w:sz="0" w:space="0" w:color="auto"/>
        <w:left w:val="none" w:sz="0" w:space="0" w:color="auto"/>
        <w:bottom w:val="none" w:sz="0" w:space="0" w:color="auto"/>
        <w:right w:val="none" w:sz="0" w:space="0" w:color="auto"/>
      </w:divBdr>
    </w:div>
    <w:div w:id="765615506">
      <w:bodyDiv w:val="1"/>
      <w:marLeft w:val="0"/>
      <w:marRight w:val="0"/>
      <w:marTop w:val="0"/>
      <w:marBottom w:val="0"/>
      <w:divBdr>
        <w:top w:val="none" w:sz="0" w:space="0" w:color="auto"/>
        <w:left w:val="none" w:sz="0" w:space="0" w:color="auto"/>
        <w:bottom w:val="none" w:sz="0" w:space="0" w:color="auto"/>
        <w:right w:val="none" w:sz="0" w:space="0" w:color="auto"/>
      </w:divBdr>
    </w:div>
    <w:div w:id="775178025">
      <w:bodyDiv w:val="1"/>
      <w:marLeft w:val="0"/>
      <w:marRight w:val="0"/>
      <w:marTop w:val="0"/>
      <w:marBottom w:val="0"/>
      <w:divBdr>
        <w:top w:val="none" w:sz="0" w:space="0" w:color="auto"/>
        <w:left w:val="none" w:sz="0" w:space="0" w:color="auto"/>
        <w:bottom w:val="none" w:sz="0" w:space="0" w:color="auto"/>
        <w:right w:val="none" w:sz="0" w:space="0" w:color="auto"/>
      </w:divBdr>
    </w:div>
    <w:div w:id="778720298">
      <w:bodyDiv w:val="1"/>
      <w:marLeft w:val="0"/>
      <w:marRight w:val="0"/>
      <w:marTop w:val="0"/>
      <w:marBottom w:val="0"/>
      <w:divBdr>
        <w:top w:val="none" w:sz="0" w:space="0" w:color="auto"/>
        <w:left w:val="none" w:sz="0" w:space="0" w:color="auto"/>
        <w:bottom w:val="none" w:sz="0" w:space="0" w:color="auto"/>
        <w:right w:val="none" w:sz="0" w:space="0" w:color="auto"/>
      </w:divBdr>
    </w:div>
    <w:div w:id="790781418">
      <w:bodyDiv w:val="1"/>
      <w:marLeft w:val="0"/>
      <w:marRight w:val="0"/>
      <w:marTop w:val="0"/>
      <w:marBottom w:val="0"/>
      <w:divBdr>
        <w:top w:val="none" w:sz="0" w:space="0" w:color="auto"/>
        <w:left w:val="none" w:sz="0" w:space="0" w:color="auto"/>
        <w:bottom w:val="none" w:sz="0" w:space="0" w:color="auto"/>
        <w:right w:val="none" w:sz="0" w:space="0" w:color="auto"/>
      </w:divBdr>
    </w:div>
    <w:div w:id="861359449">
      <w:bodyDiv w:val="1"/>
      <w:marLeft w:val="0"/>
      <w:marRight w:val="0"/>
      <w:marTop w:val="0"/>
      <w:marBottom w:val="0"/>
      <w:divBdr>
        <w:top w:val="none" w:sz="0" w:space="0" w:color="auto"/>
        <w:left w:val="none" w:sz="0" w:space="0" w:color="auto"/>
        <w:bottom w:val="none" w:sz="0" w:space="0" w:color="auto"/>
        <w:right w:val="none" w:sz="0" w:space="0" w:color="auto"/>
      </w:divBdr>
    </w:div>
    <w:div w:id="929121520">
      <w:bodyDiv w:val="1"/>
      <w:marLeft w:val="0"/>
      <w:marRight w:val="0"/>
      <w:marTop w:val="0"/>
      <w:marBottom w:val="0"/>
      <w:divBdr>
        <w:top w:val="none" w:sz="0" w:space="0" w:color="auto"/>
        <w:left w:val="none" w:sz="0" w:space="0" w:color="auto"/>
        <w:bottom w:val="none" w:sz="0" w:space="0" w:color="auto"/>
        <w:right w:val="none" w:sz="0" w:space="0" w:color="auto"/>
      </w:divBdr>
    </w:div>
    <w:div w:id="1064985806">
      <w:bodyDiv w:val="1"/>
      <w:marLeft w:val="0"/>
      <w:marRight w:val="0"/>
      <w:marTop w:val="0"/>
      <w:marBottom w:val="0"/>
      <w:divBdr>
        <w:top w:val="none" w:sz="0" w:space="0" w:color="auto"/>
        <w:left w:val="none" w:sz="0" w:space="0" w:color="auto"/>
        <w:bottom w:val="none" w:sz="0" w:space="0" w:color="auto"/>
        <w:right w:val="none" w:sz="0" w:space="0" w:color="auto"/>
      </w:divBdr>
    </w:div>
    <w:div w:id="1073088538">
      <w:bodyDiv w:val="1"/>
      <w:marLeft w:val="0"/>
      <w:marRight w:val="0"/>
      <w:marTop w:val="0"/>
      <w:marBottom w:val="0"/>
      <w:divBdr>
        <w:top w:val="none" w:sz="0" w:space="0" w:color="auto"/>
        <w:left w:val="none" w:sz="0" w:space="0" w:color="auto"/>
        <w:bottom w:val="none" w:sz="0" w:space="0" w:color="auto"/>
        <w:right w:val="none" w:sz="0" w:space="0" w:color="auto"/>
      </w:divBdr>
    </w:div>
    <w:div w:id="1115514787">
      <w:bodyDiv w:val="1"/>
      <w:marLeft w:val="0"/>
      <w:marRight w:val="0"/>
      <w:marTop w:val="0"/>
      <w:marBottom w:val="0"/>
      <w:divBdr>
        <w:top w:val="none" w:sz="0" w:space="0" w:color="auto"/>
        <w:left w:val="none" w:sz="0" w:space="0" w:color="auto"/>
        <w:bottom w:val="none" w:sz="0" w:space="0" w:color="auto"/>
        <w:right w:val="none" w:sz="0" w:space="0" w:color="auto"/>
      </w:divBdr>
    </w:div>
    <w:div w:id="1144930842">
      <w:bodyDiv w:val="1"/>
      <w:marLeft w:val="0"/>
      <w:marRight w:val="0"/>
      <w:marTop w:val="0"/>
      <w:marBottom w:val="0"/>
      <w:divBdr>
        <w:top w:val="none" w:sz="0" w:space="0" w:color="auto"/>
        <w:left w:val="none" w:sz="0" w:space="0" w:color="auto"/>
        <w:bottom w:val="none" w:sz="0" w:space="0" w:color="auto"/>
        <w:right w:val="none" w:sz="0" w:space="0" w:color="auto"/>
      </w:divBdr>
    </w:div>
    <w:div w:id="1151672264">
      <w:bodyDiv w:val="1"/>
      <w:marLeft w:val="0"/>
      <w:marRight w:val="0"/>
      <w:marTop w:val="0"/>
      <w:marBottom w:val="0"/>
      <w:divBdr>
        <w:top w:val="none" w:sz="0" w:space="0" w:color="auto"/>
        <w:left w:val="none" w:sz="0" w:space="0" w:color="auto"/>
        <w:bottom w:val="none" w:sz="0" w:space="0" w:color="auto"/>
        <w:right w:val="none" w:sz="0" w:space="0" w:color="auto"/>
      </w:divBdr>
    </w:div>
    <w:div w:id="1215119473">
      <w:bodyDiv w:val="1"/>
      <w:marLeft w:val="0"/>
      <w:marRight w:val="0"/>
      <w:marTop w:val="0"/>
      <w:marBottom w:val="0"/>
      <w:divBdr>
        <w:top w:val="none" w:sz="0" w:space="0" w:color="auto"/>
        <w:left w:val="none" w:sz="0" w:space="0" w:color="auto"/>
        <w:bottom w:val="none" w:sz="0" w:space="0" w:color="auto"/>
        <w:right w:val="none" w:sz="0" w:space="0" w:color="auto"/>
      </w:divBdr>
    </w:div>
    <w:div w:id="1223517949">
      <w:bodyDiv w:val="1"/>
      <w:marLeft w:val="0"/>
      <w:marRight w:val="0"/>
      <w:marTop w:val="0"/>
      <w:marBottom w:val="0"/>
      <w:divBdr>
        <w:top w:val="none" w:sz="0" w:space="0" w:color="auto"/>
        <w:left w:val="none" w:sz="0" w:space="0" w:color="auto"/>
        <w:bottom w:val="none" w:sz="0" w:space="0" w:color="auto"/>
        <w:right w:val="none" w:sz="0" w:space="0" w:color="auto"/>
      </w:divBdr>
    </w:div>
    <w:div w:id="1336496419">
      <w:bodyDiv w:val="1"/>
      <w:marLeft w:val="0"/>
      <w:marRight w:val="0"/>
      <w:marTop w:val="0"/>
      <w:marBottom w:val="0"/>
      <w:divBdr>
        <w:top w:val="none" w:sz="0" w:space="0" w:color="auto"/>
        <w:left w:val="none" w:sz="0" w:space="0" w:color="auto"/>
        <w:bottom w:val="none" w:sz="0" w:space="0" w:color="auto"/>
        <w:right w:val="none" w:sz="0" w:space="0" w:color="auto"/>
      </w:divBdr>
    </w:div>
    <w:div w:id="1340355184">
      <w:bodyDiv w:val="1"/>
      <w:marLeft w:val="0"/>
      <w:marRight w:val="0"/>
      <w:marTop w:val="0"/>
      <w:marBottom w:val="0"/>
      <w:divBdr>
        <w:top w:val="none" w:sz="0" w:space="0" w:color="auto"/>
        <w:left w:val="none" w:sz="0" w:space="0" w:color="auto"/>
        <w:bottom w:val="none" w:sz="0" w:space="0" w:color="auto"/>
        <w:right w:val="none" w:sz="0" w:space="0" w:color="auto"/>
      </w:divBdr>
    </w:div>
    <w:div w:id="1682976430">
      <w:bodyDiv w:val="1"/>
      <w:marLeft w:val="0"/>
      <w:marRight w:val="0"/>
      <w:marTop w:val="0"/>
      <w:marBottom w:val="0"/>
      <w:divBdr>
        <w:top w:val="none" w:sz="0" w:space="0" w:color="auto"/>
        <w:left w:val="none" w:sz="0" w:space="0" w:color="auto"/>
        <w:bottom w:val="none" w:sz="0" w:space="0" w:color="auto"/>
        <w:right w:val="none" w:sz="0" w:space="0" w:color="auto"/>
      </w:divBdr>
    </w:div>
    <w:div w:id="1746995827">
      <w:bodyDiv w:val="1"/>
      <w:marLeft w:val="0"/>
      <w:marRight w:val="0"/>
      <w:marTop w:val="0"/>
      <w:marBottom w:val="0"/>
      <w:divBdr>
        <w:top w:val="none" w:sz="0" w:space="0" w:color="auto"/>
        <w:left w:val="none" w:sz="0" w:space="0" w:color="auto"/>
        <w:bottom w:val="none" w:sz="0" w:space="0" w:color="auto"/>
        <w:right w:val="none" w:sz="0" w:space="0" w:color="auto"/>
      </w:divBdr>
    </w:div>
    <w:div w:id="1778790016">
      <w:bodyDiv w:val="1"/>
      <w:marLeft w:val="0"/>
      <w:marRight w:val="0"/>
      <w:marTop w:val="0"/>
      <w:marBottom w:val="0"/>
      <w:divBdr>
        <w:top w:val="none" w:sz="0" w:space="0" w:color="auto"/>
        <w:left w:val="none" w:sz="0" w:space="0" w:color="auto"/>
        <w:bottom w:val="none" w:sz="0" w:space="0" w:color="auto"/>
        <w:right w:val="none" w:sz="0" w:space="0" w:color="auto"/>
      </w:divBdr>
    </w:div>
    <w:div w:id="1815872316">
      <w:bodyDiv w:val="1"/>
      <w:marLeft w:val="0"/>
      <w:marRight w:val="0"/>
      <w:marTop w:val="0"/>
      <w:marBottom w:val="0"/>
      <w:divBdr>
        <w:top w:val="none" w:sz="0" w:space="0" w:color="auto"/>
        <w:left w:val="none" w:sz="0" w:space="0" w:color="auto"/>
        <w:bottom w:val="none" w:sz="0" w:space="0" w:color="auto"/>
        <w:right w:val="none" w:sz="0" w:space="0" w:color="auto"/>
      </w:divBdr>
    </w:div>
    <w:div w:id="1826436370">
      <w:bodyDiv w:val="1"/>
      <w:marLeft w:val="0"/>
      <w:marRight w:val="0"/>
      <w:marTop w:val="0"/>
      <w:marBottom w:val="0"/>
      <w:divBdr>
        <w:top w:val="none" w:sz="0" w:space="0" w:color="auto"/>
        <w:left w:val="none" w:sz="0" w:space="0" w:color="auto"/>
        <w:bottom w:val="none" w:sz="0" w:space="0" w:color="auto"/>
        <w:right w:val="none" w:sz="0" w:space="0" w:color="auto"/>
      </w:divBdr>
    </w:div>
    <w:div w:id="19432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EE25-077B-4337-A69D-E2A663DA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9621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lucagori83@gmail.com</dc:creator>
  <cp:keywords/>
  <dc:description/>
  <cp:lastModifiedBy>Claudio Tucciarelli</cp:lastModifiedBy>
  <cp:revision>2</cp:revision>
  <dcterms:created xsi:type="dcterms:W3CDTF">2023-05-31T15:17:00Z</dcterms:created>
  <dcterms:modified xsi:type="dcterms:W3CDTF">2023-05-31T15:17:00Z</dcterms:modified>
</cp:coreProperties>
</file>