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52A" w:rsidRPr="0071724A" w:rsidRDefault="0014352A">
      <w:pPr>
        <w:pStyle w:val="Corpotesto"/>
        <w:spacing w:before="9"/>
        <w:ind w:left="0"/>
        <w:jc w:val="left"/>
        <w:rPr>
          <w:color w:val="002060"/>
          <w:sz w:val="21"/>
        </w:rPr>
      </w:pPr>
      <w:bookmarkStart w:id="0" w:name="_GoBack"/>
      <w:bookmarkEnd w:id="0"/>
    </w:p>
    <w:p w:rsidR="0014352A" w:rsidRPr="0071724A" w:rsidRDefault="00A61F9F">
      <w:pPr>
        <w:pStyle w:val="Corpotesto"/>
        <w:ind w:left="4391"/>
        <w:jc w:val="left"/>
        <w:rPr>
          <w:color w:val="002060"/>
          <w:sz w:val="20"/>
        </w:rPr>
      </w:pPr>
      <w:r w:rsidRPr="0071724A">
        <w:rPr>
          <w:noProof/>
          <w:color w:val="002060"/>
          <w:sz w:val="20"/>
          <w:lang w:eastAsia="it-IT"/>
        </w:rPr>
        <w:drawing>
          <wp:inline distT="0" distB="0" distL="0" distR="0" wp14:anchorId="0E9C7A12" wp14:editId="2403B6AB">
            <wp:extent cx="771762" cy="857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762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52A" w:rsidRPr="0071724A" w:rsidRDefault="0014352A">
      <w:pPr>
        <w:pStyle w:val="Corpotesto"/>
        <w:spacing w:before="10"/>
        <w:ind w:left="0"/>
        <w:jc w:val="left"/>
        <w:rPr>
          <w:color w:val="002060"/>
          <w:sz w:val="18"/>
        </w:rPr>
      </w:pPr>
    </w:p>
    <w:p w:rsidR="0014352A" w:rsidRPr="0071724A" w:rsidRDefault="00A61F9F">
      <w:pPr>
        <w:spacing w:before="91"/>
        <w:ind w:left="252"/>
        <w:rPr>
          <w:color w:val="002060"/>
          <w:sz w:val="27"/>
        </w:rPr>
      </w:pPr>
      <w:r w:rsidRPr="0071724A">
        <w:rPr>
          <w:color w:val="002060"/>
          <w:sz w:val="27"/>
        </w:rPr>
        <w:t>IL MINISTRO DELLE INFRASTRUTTURE E DELLA MOBILITA’ SOSTENIBILI</w:t>
      </w:r>
    </w:p>
    <w:p w:rsidR="0014352A" w:rsidRPr="0071724A" w:rsidRDefault="0014352A">
      <w:pPr>
        <w:pStyle w:val="Corpotesto"/>
        <w:ind w:left="0"/>
        <w:jc w:val="left"/>
        <w:rPr>
          <w:color w:val="002060"/>
          <w:sz w:val="30"/>
        </w:rPr>
      </w:pPr>
    </w:p>
    <w:p w:rsidR="0014352A" w:rsidRPr="0071724A" w:rsidRDefault="0014352A">
      <w:pPr>
        <w:pStyle w:val="Corpotesto"/>
        <w:ind w:left="0"/>
        <w:jc w:val="left"/>
        <w:rPr>
          <w:color w:val="002060"/>
          <w:sz w:val="30"/>
        </w:rPr>
      </w:pPr>
    </w:p>
    <w:p w:rsidR="0014352A" w:rsidRPr="0071724A" w:rsidRDefault="0014352A">
      <w:pPr>
        <w:pStyle w:val="Corpotesto"/>
        <w:ind w:left="0"/>
        <w:jc w:val="left"/>
        <w:rPr>
          <w:color w:val="002060"/>
          <w:sz w:val="30"/>
        </w:rPr>
      </w:pPr>
    </w:p>
    <w:p w:rsidR="0014352A" w:rsidRPr="0071724A" w:rsidRDefault="0014352A">
      <w:pPr>
        <w:pStyle w:val="Corpotesto"/>
        <w:spacing w:before="5"/>
        <w:ind w:left="0"/>
        <w:jc w:val="left"/>
        <w:rPr>
          <w:color w:val="002060"/>
          <w:sz w:val="30"/>
        </w:rPr>
      </w:pPr>
    </w:p>
    <w:p w:rsidR="0014352A" w:rsidRPr="0071724A" w:rsidRDefault="00A61F9F">
      <w:pPr>
        <w:pStyle w:val="Corpotesto"/>
        <w:spacing w:line="360" w:lineRule="auto"/>
        <w:ind w:left="112" w:right="155"/>
        <w:rPr>
          <w:color w:val="002060"/>
        </w:rPr>
      </w:pPr>
      <w:r w:rsidRPr="0071724A">
        <w:rPr>
          <w:color w:val="002060"/>
        </w:rPr>
        <w:t>VISTO il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Regolamento (UE) 2021/ 241 del Parlamento europeo e del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Consiglio del 12 febbraio 2021 che istituisce il dispositivo per la ripresa e la resilienza;</w:t>
      </w:r>
    </w:p>
    <w:p w:rsidR="0014352A" w:rsidRPr="0071724A" w:rsidRDefault="00A61F9F" w:rsidP="00821350">
      <w:pPr>
        <w:pStyle w:val="Corpotesto"/>
        <w:spacing w:before="121" w:line="360" w:lineRule="auto"/>
        <w:ind w:left="112" w:right="151"/>
        <w:rPr>
          <w:color w:val="002060"/>
        </w:rPr>
      </w:pPr>
      <w:r w:rsidRPr="0071724A">
        <w:rPr>
          <w:color w:val="002060"/>
        </w:rPr>
        <w:t>VISTO il Regolamento (UE) 2018/ 1046 del 18 luglio 2018, che stabilisce le regole finanziarie applicabili al bilancio generale dell’Unione,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che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modifica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i Regolamenti (UE) n. 1296/2013, n. 1301/2013, n. 1303/2013, n. 1304/2013, n.</w:t>
      </w:r>
      <w:r w:rsidR="00821350" w:rsidRPr="0071724A">
        <w:rPr>
          <w:color w:val="002060"/>
        </w:rPr>
        <w:t xml:space="preserve"> </w:t>
      </w:r>
      <w:r w:rsidRPr="0071724A">
        <w:rPr>
          <w:color w:val="002060"/>
        </w:rPr>
        <w:t>1309/2013, n. 1316/2013, n</w:t>
      </w:r>
      <w:r w:rsidR="00821350" w:rsidRPr="0071724A">
        <w:rPr>
          <w:color w:val="002060"/>
        </w:rPr>
        <w:t>.</w:t>
      </w:r>
      <w:r w:rsidRPr="0071724A">
        <w:rPr>
          <w:color w:val="002060"/>
        </w:rPr>
        <w:t xml:space="preserve"> 223 /2014, n. 283 /2014 e la decisione n. 541/2014/ UE e abroga il regolamento (UE, Euratom) n. 966/2012;</w:t>
      </w:r>
    </w:p>
    <w:p w:rsidR="0014352A" w:rsidRPr="0071724A" w:rsidRDefault="00A61F9F">
      <w:pPr>
        <w:spacing w:before="113" w:line="360" w:lineRule="auto"/>
        <w:ind w:left="112" w:right="134"/>
        <w:jc w:val="both"/>
        <w:rPr>
          <w:color w:val="002060"/>
          <w:sz w:val="24"/>
        </w:rPr>
      </w:pPr>
      <w:r w:rsidRPr="0071724A">
        <w:rPr>
          <w:color w:val="002060"/>
          <w:sz w:val="24"/>
        </w:rPr>
        <w:t>VISTO il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decreto-legge 32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maggio 2021, n.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77,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convertito in legge 29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 xml:space="preserve">luglio 2021, n. 108, recante “ </w:t>
      </w:r>
      <w:r w:rsidRPr="0071724A">
        <w:rPr>
          <w:i/>
          <w:color w:val="002060"/>
          <w:sz w:val="24"/>
        </w:rPr>
        <w:t xml:space="preserve">Governance del Piano nazionale di ripresa e resilienza e prime misure di rafforzamento delle strutture amministrative e di accelerazione e snellimento delle procedure </w:t>
      </w:r>
      <w:r w:rsidRPr="0071724A">
        <w:rPr>
          <w:color w:val="002060"/>
          <w:sz w:val="24"/>
        </w:rPr>
        <w:t xml:space="preserve">”; </w:t>
      </w:r>
    </w:p>
    <w:p w:rsidR="0014352A" w:rsidRPr="0071724A" w:rsidRDefault="00A61F9F">
      <w:pPr>
        <w:spacing w:before="121" w:line="360" w:lineRule="auto"/>
        <w:ind w:left="112" w:right="136"/>
        <w:jc w:val="both"/>
        <w:rPr>
          <w:color w:val="002060"/>
          <w:sz w:val="24"/>
        </w:rPr>
      </w:pPr>
      <w:r w:rsidRPr="0071724A">
        <w:rPr>
          <w:color w:val="002060"/>
          <w:sz w:val="24"/>
        </w:rPr>
        <w:t xml:space="preserve">VISTO il decreto-legge 9 giugno 2021, n. 80, convertito in legge 6 agosto 2021, n. 113, recante “ </w:t>
      </w:r>
      <w:r w:rsidRPr="0071724A">
        <w:rPr>
          <w:i/>
          <w:color w:val="002060"/>
          <w:sz w:val="24"/>
        </w:rPr>
        <w:t>Misure urgenti per il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rafforzamento della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 xml:space="preserve">capacità amministrativa delle pubbliche amministrazioni funzionale all'attuazione del Piano nazionale di ripresa e resilienza (PNRR) e per l'efficienza della giustizia </w:t>
      </w:r>
      <w:r w:rsidRPr="0071724A">
        <w:rPr>
          <w:color w:val="002060"/>
          <w:sz w:val="24"/>
        </w:rPr>
        <w:t>”;</w:t>
      </w:r>
    </w:p>
    <w:p w:rsidR="0014352A" w:rsidRPr="0071724A" w:rsidRDefault="00A61F9F">
      <w:pPr>
        <w:pStyle w:val="Corpotesto"/>
        <w:spacing w:before="120" w:line="360" w:lineRule="auto"/>
        <w:ind w:left="112" w:right="152"/>
        <w:rPr>
          <w:color w:val="002060"/>
        </w:rPr>
      </w:pPr>
      <w:r w:rsidRPr="0071724A">
        <w:rPr>
          <w:color w:val="002060"/>
        </w:rPr>
        <w:t>VISTO il decreto del Presidente del Consiglio dei ministri 9 luglio 2021, recante l’individuazione delle amministrazioni centrali titolari di interventi di cui all’articolo 8, comma 1 del citato decreto -legge 31 maggio 2021, n. 77;</w:t>
      </w:r>
    </w:p>
    <w:p w:rsidR="00857C0C" w:rsidRPr="0071724A" w:rsidRDefault="00A61F9F" w:rsidP="0094330D">
      <w:pPr>
        <w:pStyle w:val="Corpotesto"/>
        <w:spacing w:before="122" w:line="360" w:lineRule="auto"/>
        <w:ind w:left="112" w:right="134"/>
        <w:rPr>
          <w:color w:val="002060"/>
        </w:rPr>
      </w:pPr>
      <w:r w:rsidRPr="0071724A">
        <w:rPr>
          <w:color w:val="002060"/>
        </w:rPr>
        <w:t>VISTO il Piano Nazionale di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Ripresa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e Resilienza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(PNRR)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approvato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con Decisione del Consiglio ECOFIN del 13 luglio 2021 e notificata all’Italia dal Segretariato febbraio generale del Consiglio con nota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LT161 /21,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del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14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luglio 2021;</w:t>
      </w:r>
      <w:r w:rsidR="0094330D" w:rsidRPr="0071724A">
        <w:rPr>
          <w:color w:val="002060"/>
        </w:rPr>
        <w:t xml:space="preserve"> </w:t>
      </w:r>
    </w:p>
    <w:p w:rsidR="0014352A" w:rsidRPr="0071724A" w:rsidRDefault="00A61F9F" w:rsidP="0094330D">
      <w:pPr>
        <w:pStyle w:val="Corpotesto"/>
        <w:spacing w:before="122" w:line="360" w:lineRule="auto"/>
        <w:ind w:left="112" w:right="134"/>
        <w:rPr>
          <w:color w:val="002060"/>
        </w:rPr>
      </w:pPr>
      <w:r w:rsidRPr="0071724A">
        <w:rPr>
          <w:color w:val="002060"/>
        </w:rPr>
        <w:t>VISTO il Decreto del Ministro dell’economia e delle finanze del 6 agosto 2021 relativo all’assegnazione delle risorse del PNRR in favore di ciascuna Amministrazione titolare degli interventi e alla definizione dei traguardi e degli obiettivi che concorrono alla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presentazione delle richieste di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rimborso semestrale alla Commissione europea</w:t>
      </w:r>
      <w:r w:rsidR="00857C0C" w:rsidRPr="0071724A">
        <w:rPr>
          <w:color w:val="002060"/>
        </w:rPr>
        <w:t>;</w:t>
      </w:r>
    </w:p>
    <w:p w:rsidR="0014352A" w:rsidRPr="0071724A" w:rsidRDefault="00A61F9F">
      <w:pPr>
        <w:pStyle w:val="Corpotesto"/>
        <w:spacing w:before="123" w:line="360" w:lineRule="auto"/>
        <w:ind w:left="112" w:right="138"/>
        <w:rPr>
          <w:color w:val="002060"/>
        </w:rPr>
      </w:pPr>
      <w:r w:rsidRPr="0071724A">
        <w:rPr>
          <w:color w:val="002060"/>
        </w:rPr>
        <w:t>VISTA in particolare: la misura M2C2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– 4.4.1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del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PNRR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che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prevede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 xml:space="preserve">una dotazione di 2.415 </w:t>
      </w:r>
      <w:r w:rsidRPr="0071724A">
        <w:rPr>
          <w:color w:val="002060"/>
        </w:rPr>
        <w:lastRenderedPageBreak/>
        <w:t>milioni di euro per il rinnovo del parco autobus regionale per il trasporto pubblico con veicoli a combustibili puliti</w:t>
      </w:r>
      <w:r w:rsidR="00821350" w:rsidRPr="0071724A">
        <w:rPr>
          <w:color w:val="002060"/>
        </w:rPr>
        <w:t>,</w:t>
      </w:r>
      <w:r w:rsidRPr="0071724A">
        <w:rPr>
          <w:color w:val="002060"/>
        </w:rPr>
        <w:t xml:space="preserve"> per il periodo 2021 – 2026, di cui 500 milioni imputati a progetti già in essere;</w:t>
      </w:r>
    </w:p>
    <w:p w:rsidR="0014352A" w:rsidRPr="0071724A" w:rsidRDefault="00A61F9F">
      <w:pPr>
        <w:pStyle w:val="Corpotesto"/>
        <w:spacing w:before="120" w:line="360" w:lineRule="auto"/>
        <w:ind w:left="112" w:right="135"/>
        <w:rPr>
          <w:color w:val="002060"/>
        </w:rPr>
      </w:pPr>
      <w:r w:rsidRPr="0071724A">
        <w:rPr>
          <w:color w:val="002060"/>
        </w:rPr>
        <w:t>CONSIDERATO che, come previsto dalla suddetta misura del PNRR, l’investimento prevede</w:t>
      </w:r>
      <w:r w:rsidR="0089083A" w:rsidRPr="0071724A">
        <w:rPr>
          <w:color w:val="002060"/>
        </w:rPr>
        <w:t xml:space="preserve">, entro il 31 dicembre 2024, l’acquisto di almeno 800 autobus a emissioni zero per il rinnovo del parco veicoli ed, entro il </w:t>
      </w:r>
      <w:r w:rsidR="000F4B78" w:rsidRPr="0071724A">
        <w:rPr>
          <w:color w:val="002060"/>
        </w:rPr>
        <w:t>30</w:t>
      </w:r>
      <w:r w:rsidR="0089083A" w:rsidRPr="0071724A">
        <w:rPr>
          <w:color w:val="002060"/>
        </w:rPr>
        <w:t xml:space="preserve"> </w:t>
      </w:r>
      <w:r w:rsidR="000F4B78" w:rsidRPr="0071724A">
        <w:rPr>
          <w:color w:val="002060"/>
        </w:rPr>
        <w:t>giugno</w:t>
      </w:r>
      <w:r w:rsidR="0089083A" w:rsidRPr="0071724A">
        <w:rPr>
          <w:color w:val="002060"/>
        </w:rPr>
        <w:t xml:space="preserve"> 2026, l’entrata in servizio di almeno 3.000 autobus a emissioni zero per il rinnovo del parco veicoli</w:t>
      </w:r>
      <w:r w:rsidR="00DE1C7B" w:rsidRPr="0071724A">
        <w:rPr>
          <w:color w:val="002060"/>
        </w:rPr>
        <w:t xml:space="preserve"> e che g</w:t>
      </w:r>
      <w:r w:rsidRPr="0071724A">
        <w:rPr>
          <w:color w:val="002060"/>
        </w:rPr>
        <w:t>li autobus devono essere dotati di tecnologie digitali;</w:t>
      </w:r>
    </w:p>
    <w:p w:rsidR="0014352A" w:rsidRPr="0071724A" w:rsidRDefault="00A61F9F">
      <w:pPr>
        <w:pStyle w:val="Corpotesto"/>
        <w:spacing w:before="121" w:line="360" w:lineRule="auto"/>
        <w:ind w:left="112" w:right="131"/>
        <w:rPr>
          <w:color w:val="002060"/>
        </w:rPr>
      </w:pPr>
      <w:r w:rsidRPr="0071724A">
        <w:rPr>
          <w:color w:val="002060"/>
        </w:rPr>
        <w:t>RITENUTO che le finalità della misura sopradescritta possano essere realizzate attraverso l’acquisto di autobus ad alimentazione elettrica o ad idrogeno e -</w:t>
      </w:r>
      <w:r w:rsidR="0089083A" w:rsidRPr="0071724A">
        <w:rPr>
          <w:color w:val="002060"/>
        </w:rPr>
        <w:t xml:space="preserve"> </w:t>
      </w:r>
      <w:r w:rsidRPr="0071724A">
        <w:rPr>
          <w:color w:val="002060"/>
        </w:rPr>
        <w:t>fermo restando il numero minimo obbligatorio di autobus da acquistare - la realizzazione delle infrastrutture di supporto all’alimentazione;</w:t>
      </w:r>
    </w:p>
    <w:p w:rsidR="0014352A" w:rsidRPr="0071724A" w:rsidRDefault="00A61F9F">
      <w:pPr>
        <w:pStyle w:val="Corpotesto"/>
        <w:spacing w:before="120" w:line="357" w:lineRule="auto"/>
        <w:ind w:left="112" w:right="154"/>
        <w:rPr>
          <w:color w:val="002060"/>
        </w:rPr>
      </w:pPr>
      <w:r w:rsidRPr="0071724A">
        <w:rPr>
          <w:color w:val="002060"/>
        </w:rPr>
        <w:t>CONSIDERATO che, sulla base della tipologia di alimentazione, gli autobus acquistati verranno utilizzati dai Comuni per i servizi di trasporto pubblico locale;</w:t>
      </w:r>
    </w:p>
    <w:p w:rsidR="0014352A" w:rsidRPr="0071724A" w:rsidRDefault="00A61F9F">
      <w:pPr>
        <w:spacing w:before="126" w:line="360" w:lineRule="auto"/>
        <w:ind w:left="112" w:right="140"/>
        <w:jc w:val="both"/>
        <w:rPr>
          <w:color w:val="002060"/>
          <w:sz w:val="24"/>
        </w:rPr>
      </w:pPr>
      <w:r w:rsidRPr="0071724A">
        <w:rPr>
          <w:color w:val="002060"/>
          <w:sz w:val="24"/>
        </w:rPr>
        <w:t>VISTO il DPCM del 17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aprile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2019,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“Approvazione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del Piano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 xml:space="preserve">Strategico Nazionale della Mobilità Sostenibile” </w:t>
      </w:r>
      <w:r w:rsidRPr="0071724A">
        <w:rPr>
          <w:color w:val="002060"/>
          <w:sz w:val="24"/>
        </w:rPr>
        <w:t>(anche PSNMS), ai sensi dell’articolo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1, comma 615, della legge 11 dicembre 2016, n. 232;</w:t>
      </w:r>
    </w:p>
    <w:p w:rsidR="0014352A" w:rsidRPr="0071724A" w:rsidRDefault="00A61F9F">
      <w:pPr>
        <w:pStyle w:val="Corpotesto"/>
        <w:spacing w:before="119" w:line="360" w:lineRule="auto"/>
        <w:ind w:left="112" w:right="133"/>
        <w:rPr>
          <w:color w:val="002060"/>
        </w:rPr>
      </w:pPr>
      <w:r w:rsidRPr="0071724A">
        <w:rPr>
          <w:color w:val="002060"/>
        </w:rPr>
        <w:t>VISTO il Decreto del Ministro delle infrastrutture e dei trasporti, di concerto con il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Ministro dello sviluppo economico e il Ministro dell’economia e delle finanze n. 71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del 9 febbraio 2021, di riparto delle risorse di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cui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all’articolo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4 del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DPCM del 17 aprile 2019 e relativo ai Comuni con popolazione superiore a 100.000 abitanti ed alle Città metropolitane;</w:t>
      </w:r>
    </w:p>
    <w:p w:rsidR="0094330D" w:rsidRPr="0071724A" w:rsidRDefault="00A61F9F" w:rsidP="0094330D">
      <w:pPr>
        <w:pStyle w:val="Corpotesto"/>
        <w:spacing w:before="122" w:line="360" w:lineRule="auto"/>
        <w:ind w:left="112" w:right="139"/>
        <w:rPr>
          <w:color w:val="002060"/>
        </w:rPr>
      </w:pPr>
      <w:r w:rsidRPr="0071724A">
        <w:rPr>
          <w:color w:val="002060"/>
        </w:rPr>
        <w:t>VISTO il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Decreto del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Ministro delle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infrastrutture e dei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trasporti, di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concerto con il Ministro dello sviluppo economico e il Ministro dell’economia e delle finanze n. 234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del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6 giugno 2020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riparto delle risorse di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cui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all’articolo 3 del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DPCM del 17 aprile 2019 e relativo ai Comuni ad alto tasso di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inquinamento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PM10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e biossido di azoto;</w:t>
      </w:r>
      <w:r w:rsidR="0094330D" w:rsidRPr="0071724A">
        <w:rPr>
          <w:color w:val="002060"/>
        </w:rPr>
        <w:t xml:space="preserve"> </w:t>
      </w:r>
    </w:p>
    <w:p w:rsidR="0014352A" w:rsidRPr="0071724A" w:rsidRDefault="0094330D" w:rsidP="0094330D">
      <w:pPr>
        <w:pStyle w:val="Corpotesto"/>
        <w:spacing w:before="122" w:line="360" w:lineRule="auto"/>
        <w:ind w:left="112" w:right="139"/>
        <w:rPr>
          <w:color w:val="002060"/>
        </w:rPr>
      </w:pPr>
      <w:r w:rsidRPr="0071724A">
        <w:rPr>
          <w:color w:val="002060"/>
        </w:rPr>
        <w:t>C</w:t>
      </w:r>
      <w:r w:rsidR="00A61F9F" w:rsidRPr="0071724A">
        <w:rPr>
          <w:color w:val="002060"/>
        </w:rPr>
        <w:t>ONSIDERATO che la quota di 500 milioni imputati a progetti già in essere per il periodo 2022 – 2026, come indicato nella misura M2C 2 – 4.1 del PNRR è da ricomprendere nell’importo di cui ai Decreti del Ministro delle infrastrutture e dei trasporti, di concerto con il Ministro dello sviluppo economico e il Ministro dell’economia e delle finanze n. 71 del 9 febbraio</w:t>
      </w:r>
      <w:r w:rsidR="00E64939" w:rsidRPr="0071724A">
        <w:rPr>
          <w:color w:val="002060"/>
        </w:rPr>
        <w:t xml:space="preserve"> </w:t>
      </w:r>
      <w:r w:rsidR="00A61F9F" w:rsidRPr="0071724A">
        <w:rPr>
          <w:color w:val="002060"/>
        </w:rPr>
        <w:t>2021, Decreto</w:t>
      </w:r>
      <w:r w:rsidR="00E64939" w:rsidRPr="0071724A">
        <w:rPr>
          <w:color w:val="002060"/>
        </w:rPr>
        <w:t xml:space="preserve"> </w:t>
      </w:r>
      <w:r w:rsidR="00A61F9F" w:rsidRPr="0071724A">
        <w:rPr>
          <w:color w:val="002060"/>
        </w:rPr>
        <w:t>n.</w:t>
      </w:r>
      <w:r w:rsidR="00E64939" w:rsidRPr="0071724A">
        <w:rPr>
          <w:color w:val="002060"/>
        </w:rPr>
        <w:t xml:space="preserve"> </w:t>
      </w:r>
      <w:r w:rsidR="00A61F9F" w:rsidRPr="0071724A">
        <w:rPr>
          <w:color w:val="002060"/>
        </w:rPr>
        <w:t>234</w:t>
      </w:r>
      <w:r w:rsidR="00E64939" w:rsidRPr="0071724A">
        <w:rPr>
          <w:color w:val="002060"/>
        </w:rPr>
        <w:t xml:space="preserve"> </w:t>
      </w:r>
      <w:r w:rsidR="00A61F9F" w:rsidRPr="0071724A">
        <w:rPr>
          <w:color w:val="002060"/>
        </w:rPr>
        <w:t>del</w:t>
      </w:r>
      <w:r w:rsidR="00E64939" w:rsidRPr="0071724A">
        <w:rPr>
          <w:color w:val="002060"/>
        </w:rPr>
        <w:t xml:space="preserve"> </w:t>
      </w:r>
      <w:r w:rsidR="00A61F9F" w:rsidRPr="0071724A">
        <w:rPr>
          <w:color w:val="002060"/>
        </w:rPr>
        <w:t>6 giugno 2020, e Decreto n. 81 del 14 febbraio 2020;</w:t>
      </w:r>
    </w:p>
    <w:p w:rsidR="0014352A" w:rsidRPr="0071724A" w:rsidRDefault="00A61F9F">
      <w:pPr>
        <w:pStyle w:val="Corpotesto"/>
        <w:spacing w:before="121" w:line="360" w:lineRule="auto"/>
        <w:ind w:left="112" w:right="132"/>
        <w:rPr>
          <w:color w:val="002060"/>
        </w:rPr>
      </w:pPr>
      <w:r w:rsidRPr="0071724A">
        <w:rPr>
          <w:color w:val="002060"/>
        </w:rPr>
        <w:t>CONSIDERATO che l’investimento previsto nel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PNRR</w:t>
      </w:r>
      <w:r w:rsidR="00821350" w:rsidRPr="0071724A">
        <w:rPr>
          <w:color w:val="002060"/>
        </w:rPr>
        <w:t>,</w:t>
      </w:r>
      <w:r w:rsidRPr="0071724A">
        <w:rPr>
          <w:color w:val="002060"/>
        </w:rPr>
        <w:t xml:space="preserve"> per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la tipologia dei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mezzi di cui è finanziato l’acquisto, consentirà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di dare un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consistente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impulso all’obiettivo di rendere sempre più sostenibile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la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mobilità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nelle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grandi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città italiane, contribuendo in modo significativo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al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miglioramento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della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 xml:space="preserve">qualità dell’aria soprattutto nelle realtà urbane caratterizzate da rilevanti tassi di inquinamento da Pm </w:t>
      </w:r>
      <w:r w:rsidRPr="0071724A">
        <w:rPr>
          <w:color w:val="002060"/>
          <w:vertAlign w:val="subscript"/>
        </w:rPr>
        <w:t>10</w:t>
      </w:r>
      <w:r w:rsidRPr="0071724A">
        <w:rPr>
          <w:color w:val="002060"/>
        </w:rPr>
        <w:t xml:space="preserve"> e biossido di azoto;</w:t>
      </w:r>
    </w:p>
    <w:p w:rsidR="0014352A" w:rsidRPr="0071724A" w:rsidRDefault="00A61F9F">
      <w:pPr>
        <w:pStyle w:val="Corpotesto"/>
        <w:spacing w:before="121" w:line="360" w:lineRule="auto"/>
        <w:ind w:left="112" w:right="135"/>
        <w:rPr>
          <w:color w:val="002060"/>
        </w:rPr>
      </w:pPr>
      <w:r w:rsidRPr="0071724A">
        <w:rPr>
          <w:color w:val="002060"/>
        </w:rPr>
        <w:lastRenderedPageBreak/>
        <w:t>RITENUTO efficace, per quanto sopra, che le risorse del PNRR siano finalizzate a sostenere gli investimenti prevedendo di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assegnare le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risorse ai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Comuni capoluogo di Città Metropolitane e, per le Regioni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dove non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sono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presenti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Città metropolitane, ai Comuni capoluogo di Regione o di Province autonome, nonché ai Comuni con più elevati tassi di inquinamento da Pm</w:t>
      </w:r>
      <w:r w:rsidRPr="0071724A">
        <w:rPr>
          <w:color w:val="002060"/>
          <w:vertAlign w:val="subscript"/>
        </w:rPr>
        <w:t>10</w:t>
      </w:r>
      <w:r w:rsidRPr="0071724A">
        <w:rPr>
          <w:color w:val="002060"/>
        </w:rPr>
        <w:t xml:space="preserve"> e biossido di azoto, in continuità con le misure adottate nel Piano Strategico Nazionale della mobilità sostenibile;</w:t>
      </w:r>
    </w:p>
    <w:p w:rsidR="0014352A" w:rsidRPr="0071724A" w:rsidRDefault="00A61F9F">
      <w:pPr>
        <w:pStyle w:val="Corpotesto"/>
        <w:spacing w:before="122" w:line="360" w:lineRule="auto"/>
        <w:ind w:left="112" w:right="140"/>
        <w:rPr>
          <w:color w:val="002060"/>
        </w:rPr>
      </w:pPr>
      <w:r w:rsidRPr="0071724A">
        <w:rPr>
          <w:color w:val="002060"/>
        </w:rPr>
        <w:t>RAVVISATA pertanto la necessità di procedere al riparto dell’importo di 1.915 milioni di euro – importo assegnato dal PNRR al netto delle risorse per progetti in essere – applicando:</w:t>
      </w:r>
    </w:p>
    <w:p w:rsidR="0014352A" w:rsidRPr="0071724A" w:rsidRDefault="00A61F9F" w:rsidP="00DE1C7B">
      <w:pPr>
        <w:pStyle w:val="Paragrafoelenco"/>
        <w:numPr>
          <w:ilvl w:val="0"/>
          <w:numId w:val="10"/>
        </w:numPr>
        <w:tabs>
          <w:tab w:val="left" w:pos="426"/>
        </w:tabs>
        <w:spacing w:before="119" w:line="355" w:lineRule="auto"/>
        <w:ind w:left="426" w:right="115" w:hanging="284"/>
        <w:rPr>
          <w:color w:val="002060"/>
          <w:sz w:val="24"/>
        </w:rPr>
      </w:pPr>
      <w:r w:rsidRPr="0071724A">
        <w:rPr>
          <w:color w:val="002060"/>
          <w:sz w:val="24"/>
        </w:rPr>
        <w:t>per i Comuni capoluogo 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Città Metropolitane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 criteri e le percentuali di riparto utilizzati con il citato Decreto interministeriale n. 71 del 9 febbraio 2021 nell’ambito del Piano strategico nazionale per la mobilità sostenibile di cui al DPCM del 17/04/2019, per un importo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1.100 milioni di euro, prevedendo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una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ulteriore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integrazione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pari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a 545 milioni di euro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a favore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Comuni con più alto tasso 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inquinamento da PM10 e biossido di azoto;</w:t>
      </w:r>
    </w:p>
    <w:p w:rsidR="0014352A" w:rsidRPr="0071724A" w:rsidRDefault="00A61F9F" w:rsidP="00DE1C7B">
      <w:pPr>
        <w:pStyle w:val="Paragrafoelenco"/>
        <w:numPr>
          <w:ilvl w:val="0"/>
          <w:numId w:val="10"/>
        </w:numPr>
        <w:tabs>
          <w:tab w:val="left" w:pos="426"/>
        </w:tabs>
        <w:spacing w:before="119" w:line="355" w:lineRule="auto"/>
        <w:ind w:left="426" w:right="115" w:hanging="284"/>
        <w:rPr>
          <w:color w:val="002060"/>
          <w:sz w:val="24"/>
        </w:rPr>
      </w:pPr>
      <w:r w:rsidRPr="0071724A">
        <w:rPr>
          <w:color w:val="002060"/>
          <w:sz w:val="24"/>
        </w:rPr>
        <w:t>per i Comuni capoluogo delle Regioni in cui non sono presenti Città metropolitane e delle province autonome</w:t>
      </w:r>
      <w:r w:rsidR="00821350" w:rsidRPr="0071724A">
        <w:rPr>
          <w:color w:val="002060"/>
          <w:sz w:val="24"/>
        </w:rPr>
        <w:t>,</w:t>
      </w:r>
      <w:r w:rsidRPr="0071724A">
        <w:rPr>
          <w:color w:val="002060"/>
          <w:sz w:val="24"/>
        </w:rPr>
        <w:t xml:space="preserve"> un riparto proporzionale alla popolazione residente ed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alla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superficie territoriale, per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un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importo di 50 milioni di euro;</w:t>
      </w:r>
    </w:p>
    <w:p w:rsidR="0014352A" w:rsidRPr="0071724A" w:rsidRDefault="00A61F9F" w:rsidP="00DE1C7B">
      <w:pPr>
        <w:pStyle w:val="Paragrafoelenco"/>
        <w:numPr>
          <w:ilvl w:val="0"/>
          <w:numId w:val="10"/>
        </w:numPr>
        <w:tabs>
          <w:tab w:val="left" w:pos="426"/>
        </w:tabs>
        <w:spacing w:before="119" w:line="355" w:lineRule="auto"/>
        <w:ind w:left="426" w:right="115" w:hanging="284"/>
        <w:rPr>
          <w:color w:val="002060"/>
        </w:rPr>
      </w:pPr>
      <w:r w:rsidRPr="0071724A">
        <w:rPr>
          <w:color w:val="002060"/>
          <w:sz w:val="24"/>
        </w:rPr>
        <w:t>per i Comuni ad alto tasso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inquinamento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PM10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e biossido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 azoto – ad esclusione dei Comuni capoluogo di Città metropolitana - i criteri del citato Decreto interministeriale n. 234 del 6 giugno 2020, nell’ambito del Piano strategico nazionale per la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mobilità sostenibile di cui al DPCM del 17/04/2019 per un importo di 220 milioni di euro</w:t>
      </w:r>
      <w:r w:rsidR="00821350" w:rsidRPr="0071724A">
        <w:rPr>
          <w:color w:val="002060"/>
        </w:rPr>
        <w:t>;</w:t>
      </w:r>
    </w:p>
    <w:p w:rsidR="0014352A" w:rsidRPr="0071724A" w:rsidRDefault="00A61F9F">
      <w:pPr>
        <w:pStyle w:val="Corpotesto"/>
        <w:spacing w:before="144" w:line="360" w:lineRule="auto"/>
        <w:ind w:left="112" w:right="132"/>
        <w:rPr>
          <w:color w:val="002060"/>
        </w:rPr>
      </w:pPr>
      <w:r w:rsidRPr="0071724A">
        <w:rPr>
          <w:color w:val="002060"/>
        </w:rPr>
        <w:t>CONSIDERATO necessario assicurare una quota percentuale di riparto ai Comuni ricadenti ne</w:t>
      </w:r>
      <w:r w:rsidR="00DE1C7B" w:rsidRPr="0071724A">
        <w:rPr>
          <w:color w:val="002060"/>
        </w:rPr>
        <w:t>i</w:t>
      </w:r>
      <w:r w:rsidRPr="0071724A">
        <w:rPr>
          <w:color w:val="002060"/>
        </w:rPr>
        <w:t xml:space="preserve"> territori del Sud pari al 40%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delle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risorse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relative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ai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Comuni capoluogo di Città metropolitane ed ai Comuni capoluogo di Regione o di Province autonome, in coerenza con quanto previsto dal PNRR e tenuto conto del fatto che la quasi totalità dei Comuni con alto tasso di inquinamento da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 xml:space="preserve">PM </w:t>
      </w:r>
      <w:r w:rsidRPr="0071724A">
        <w:rPr>
          <w:color w:val="002060"/>
          <w:vertAlign w:val="subscript"/>
        </w:rPr>
        <w:t>10</w:t>
      </w:r>
      <w:r w:rsidRPr="0071724A">
        <w:rPr>
          <w:color w:val="002060"/>
        </w:rPr>
        <w:t xml:space="preserve"> e biossido di azoto ricade nel centro-nord;</w:t>
      </w:r>
    </w:p>
    <w:p w:rsidR="0014352A" w:rsidRPr="0071724A" w:rsidRDefault="00A61F9F">
      <w:pPr>
        <w:pStyle w:val="Corpotesto"/>
        <w:spacing w:before="121" w:line="360" w:lineRule="auto"/>
        <w:ind w:left="112" w:right="144"/>
        <w:rPr>
          <w:color w:val="002060"/>
        </w:rPr>
      </w:pPr>
      <w:r w:rsidRPr="0071724A">
        <w:rPr>
          <w:color w:val="002060"/>
        </w:rPr>
        <w:t>RITENUTO opportuno, ai fini del raggiungimento dell’obiettivo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complessivo previsto dal PNRR di acquistare 3.000 autobus, prevedere in via prudenziale l’acquisto di almeno 2</w:t>
      </w:r>
      <w:r w:rsidR="00C91D74" w:rsidRPr="0071724A">
        <w:rPr>
          <w:color w:val="002060"/>
        </w:rPr>
        <w:t>.</w:t>
      </w:r>
      <w:r w:rsidRPr="0071724A">
        <w:rPr>
          <w:color w:val="002060"/>
        </w:rPr>
        <w:t>690 autobus con le risorse del presente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Decreto e di 310 autobus a valere sulla quota di risorse per i progetti già in essere;</w:t>
      </w:r>
    </w:p>
    <w:p w:rsidR="0014352A" w:rsidRPr="0071724A" w:rsidRDefault="00A61F9F">
      <w:pPr>
        <w:pStyle w:val="Corpotesto"/>
        <w:spacing w:before="120"/>
        <w:ind w:left="112"/>
        <w:rPr>
          <w:color w:val="002060"/>
        </w:rPr>
      </w:pPr>
      <w:r w:rsidRPr="0071724A">
        <w:rPr>
          <w:color w:val="002060"/>
        </w:rPr>
        <w:t>VISTO l’Allegato 1 al presente decreto;</w:t>
      </w:r>
    </w:p>
    <w:p w:rsidR="0014352A" w:rsidRPr="0071724A" w:rsidRDefault="0014352A">
      <w:pPr>
        <w:pStyle w:val="Corpotesto"/>
        <w:spacing w:before="3"/>
        <w:ind w:left="0"/>
        <w:jc w:val="left"/>
        <w:rPr>
          <w:color w:val="002060"/>
          <w:sz w:val="22"/>
        </w:rPr>
      </w:pPr>
    </w:p>
    <w:p w:rsidR="0014352A" w:rsidRPr="0071724A" w:rsidRDefault="00A61F9F">
      <w:pPr>
        <w:spacing w:line="360" w:lineRule="auto"/>
        <w:ind w:left="112" w:right="243"/>
        <w:jc w:val="both"/>
        <w:rPr>
          <w:color w:val="002060"/>
          <w:sz w:val="24"/>
        </w:rPr>
      </w:pPr>
      <w:r w:rsidRPr="0071724A">
        <w:rPr>
          <w:color w:val="002060"/>
          <w:sz w:val="24"/>
        </w:rPr>
        <w:t>CONSIDERATO che il principio di «</w:t>
      </w:r>
      <w:r w:rsidRPr="0071724A">
        <w:rPr>
          <w:i/>
          <w:color w:val="002060"/>
          <w:sz w:val="24"/>
        </w:rPr>
        <w:t>non arrecare un danno significativo</w:t>
      </w:r>
      <w:r w:rsidRPr="0071724A">
        <w:rPr>
          <w:color w:val="002060"/>
          <w:sz w:val="24"/>
        </w:rPr>
        <w:t>» è definito, ai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sensi dell’art.2, comma 1,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punto 6), del Regolamento (UE) 2021/21, come segue: “</w:t>
      </w:r>
      <w:r w:rsidRPr="0071724A">
        <w:rPr>
          <w:i/>
          <w:color w:val="002060"/>
          <w:sz w:val="24"/>
        </w:rPr>
        <w:t>non sostenere o svolgere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attività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economiche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che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arrecano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un danno significativo all'obiettivo ambientale, ai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sensi, ove pertinente, dell'articolo 17 del Regolamento (UE) 2020/ 852</w:t>
      </w:r>
      <w:r w:rsidRPr="0071724A">
        <w:rPr>
          <w:color w:val="002060"/>
          <w:sz w:val="24"/>
        </w:rPr>
        <w:t xml:space="preserve">”; </w:t>
      </w:r>
    </w:p>
    <w:p w:rsidR="0014352A" w:rsidRPr="0071724A" w:rsidRDefault="00A61F9F">
      <w:pPr>
        <w:spacing w:before="123" w:line="357" w:lineRule="auto"/>
        <w:ind w:left="112" w:right="137"/>
        <w:jc w:val="both"/>
        <w:rPr>
          <w:color w:val="002060"/>
          <w:sz w:val="24"/>
        </w:rPr>
      </w:pPr>
      <w:r w:rsidRPr="0071724A">
        <w:rPr>
          <w:color w:val="002060"/>
          <w:sz w:val="24"/>
        </w:rPr>
        <w:lastRenderedPageBreak/>
        <w:t>VISTO il decreto legislativo 18 aprile 2016, n. 50, recante: “</w:t>
      </w:r>
      <w:r w:rsidRPr="0071724A">
        <w:rPr>
          <w:i/>
          <w:color w:val="002060"/>
          <w:sz w:val="24"/>
        </w:rPr>
        <w:t>Codice dei contratti pubblici</w:t>
      </w:r>
      <w:r w:rsidRPr="0071724A">
        <w:rPr>
          <w:color w:val="002060"/>
          <w:sz w:val="24"/>
        </w:rPr>
        <w:t>”, e successive modificazioni;</w:t>
      </w:r>
    </w:p>
    <w:p w:rsidR="0014352A" w:rsidRPr="0071724A" w:rsidRDefault="00A61F9F">
      <w:pPr>
        <w:pStyle w:val="Corpotesto"/>
        <w:spacing w:before="126" w:line="360" w:lineRule="auto"/>
        <w:ind w:left="112" w:right="142"/>
        <w:rPr>
          <w:color w:val="002060"/>
        </w:rPr>
      </w:pPr>
      <w:r w:rsidRPr="0071724A">
        <w:rPr>
          <w:color w:val="002060"/>
        </w:rPr>
        <w:t>VISTO l’art 3, comma 1, lettera ggggg -bis del decreto legislativo 18 aprile 2016, n.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50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che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disciplina il principio di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unicità dell’invio, secondo il quale ciascun dato è fornito una sola volta a un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solo sistema informativo, non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può essere richiesto da altri sistemi o banche dati,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ma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è reso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disponibile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dal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sistema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informativo ricevente;</w:t>
      </w:r>
    </w:p>
    <w:p w:rsidR="0014352A" w:rsidRPr="0071724A" w:rsidRDefault="00A61F9F" w:rsidP="0094330D">
      <w:pPr>
        <w:spacing w:before="118" w:line="360" w:lineRule="auto"/>
        <w:ind w:left="112" w:right="130"/>
        <w:jc w:val="both"/>
        <w:rPr>
          <w:color w:val="002060"/>
          <w:sz w:val="24"/>
        </w:rPr>
      </w:pPr>
      <w:r w:rsidRPr="0071724A">
        <w:rPr>
          <w:color w:val="002060"/>
          <w:sz w:val="24"/>
        </w:rPr>
        <w:t xml:space="preserve">VISTA la legge 16 gennaio 2003, n. 3, recante </w:t>
      </w:r>
      <w:r w:rsidRPr="0071724A">
        <w:rPr>
          <w:i/>
          <w:color w:val="002060"/>
          <w:sz w:val="24"/>
        </w:rPr>
        <w:t>“Disposizioni ordinamentali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in materia di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 xml:space="preserve">pubblica amministrazione </w:t>
      </w:r>
      <w:r w:rsidRPr="0071724A">
        <w:rPr>
          <w:color w:val="002060"/>
          <w:sz w:val="24"/>
        </w:rPr>
        <w:t>” ed, in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 xml:space="preserve">particolare, l’articolo 11, comma 2 - bis, ai sensi del quale “ </w:t>
      </w:r>
      <w:r w:rsidRPr="0071724A">
        <w:rPr>
          <w:i/>
          <w:color w:val="002060"/>
          <w:sz w:val="24"/>
        </w:rPr>
        <w:t>Gli atti amministrativi anche di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natura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regolamentare adottati dalle Amministrazioni di cui all’articolo 1, comma 2, del decreto</w:t>
      </w:r>
      <w:r w:rsidR="0094330D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legislativo 30 marzo 2001, n. 165, che dispongono il finanziamento pubblico o autorizzano l’esecuzione di progetti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di investimento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pubblico,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sono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nulli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 xml:space="preserve">in assenza dei corrispondenti codici di cui al comma 1 che costituiscono elemento essenziale dell'atto stesso </w:t>
      </w:r>
      <w:r w:rsidRPr="0071724A">
        <w:rPr>
          <w:color w:val="002060"/>
          <w:sz w:val="24"/>
        </w:rPr>
        <w:t xml:space="preserve">”; </w:t>
      </w:r>
    </w:p>
    <w:p w:rsidR="0014352A" w:rsidRPr="0071724A" w:rsidRDefault="00A61F9F">
      <w:pPr>
        <w:pStyle w:val="Corpotesto"/>
        <w:spacing w:before="121" w:line="362" w:lineRule="auto"/>
        <w:ind w:left="112" w:right="152"/>
        <w:rPr>
          <w:color w:val="002060"/>
        </w:rPr>
      </w:pPr>
      <w:r w:rsidRPr="0071724A">
        <w:rPr>
          <w:color w:val="002060"/>
        </w:rPr>
        <w:t>VISTA la delibera del CIPE n. 63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del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26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novembre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2020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che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introduce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la normativa attuativa della riforma del CUP;</w:t>
      </w:r>
    </w:p>
    <w:p w:rsidR="0014352A" w:rsidRPr="0071724A" w:rsidRDefault="00A61F9F">
      <w:pPr>
        <w:pStyle w:val="Corpotesto"/>
        <w:spacing w:before="114" w:line="360" w:lineRule="auto"/>
        <w:ind w:left="112" w:right="131"/>
        <w:rPr>
          <w:color w:val="002060"/>
        </w:rPr>
      </w:pPr>
      <w:r w:rsidRPr="0071724A">
        <w:rPr>
          <w:color w:val="002060"/>
        </w:rPr>
        <w:t>VISTO l’articolo 1, comma 1042 della legge 30 dicembre 2020, n. 178 ai sensi del quale con uno o più decreti del Ministro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dell’economia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e delle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finanze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sono stabilite le procedure amministrativo-contabili per la gestione delle risorse di cui ai commi da 1037 a 1050, nonché le modalità di rendicontazione della gestione del Fondo di cui al comma 1037;</w:t>
      </w:r>
    </w:p>
    <w:p w:rsidR="0014352A" w:rsidRPr="0071724A" w:rsidRDefault="00A61F9F">
      <w:pPr>
        <w:pStyle w:val="Corpotesto"/>
        <w:spacing w:before="123" w:line="360" w:lineRule="auto"/>
        <w:ind w:left="112" w:right="137"/>
        <w:rPr>
          <w:color w:val="002060"/>
        </w:rPr>
      </w:pPr>
      <w:r w:rsidRPr="0071724A">
        <w:rPr>
          <w:color w:val="002060"/>
        </w:rPr>
        <w:t>VISTO l’articolo 1,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comma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1043, secondo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periodo della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legge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30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dicembre 2020, n. 178, ai sensi del quale al fine di supportare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le attività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di gestione,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di monitoraggio, di rendicontazione e di controllo delle componenti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del Next Generation EU, il Ministero dell'economia e delle finanze - Dipartimento della Ragioneria generale dello Stato sviluppa e rende disponibile un apposito sistema informatico;</w:t>
      </w:r>
    </w:p>
    <w:p w:rsidR="0014352A" w:rsidRPr="0071724A" w:rsidRDefault="00A61F9F">
      <w:pPr>
        <w:pStyle w:val="Corpotesto"/>
        <w:spacing w:before="121" w:line="360" w:lineRule="auto"/>
        <w:ind w:left="112" w:right="133"/>
        <w:rPr>
          <w:color w:val="002060"/>
        </w:rPr>
      </w:pPr>
      <w:r w:rsidRPr="0071724A">
        <w:rPr>
          <w:color w:val="002060"/>
        </w:rPr>
        <w:t>VISTO l’articolo 1, comma 1044 della legge 30 dicembre 2020, n. 178 ai sensi del quale con decreto del Presidente del Consiglio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dei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ministri,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su proposta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del Ministro dell'economia e delle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finanze, da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adottare entro sessanta giorni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dalla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data di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entrata in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vigore della medesima legge, sono definite le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modalità di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rilevazione dei dati di attuazione finanziaria, fisica e procedurale relativi a ciascun progetto, da rendere disponibili in formato elaborabile, con particolare riferimento ai costi programmati, agli obiettivi perseguiti, alla spesa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sostenuta,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alle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ricadute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sui territori che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ne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beneficiano, ai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soggetti attuatori, ai tempi di realizzazione previsti ed effettivi, agli indicatori di realizzazione e di risultato, nonché a ogni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altro elemento utile per l'analisi e la valutazione degli interventi;</w:t>
      </w:r>
    </w:p>
    <w:p w:rsidR="0014352A" w:rsidRPr="0071724A" w:rsidRDefault="00A61F9F">
      <w:pPr>
        <w:pStyle w:val="Corpotesto"/>
        <w:spacing w:before="121" w:line="360" w:lineRule="auto"/>
        <w:ind w:left="112" w:right="141"/>
        <w:rPr>
          <w:color w:val="002060"/>
        </w:rPr>
      </w:pPr>
      <w:r w:rsidRPr="0071724A">
        <w:rPr>
          <w:color w:val="002060"/>
        </w:rPr>
        <w:t>VISTO l’articolo 25, comma 2,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del decreto -legge 24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aprile 2014, n.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66 che, al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 xml:space="preserve">fine di assicurare </w:t>
      </w:r>
      <w:r w:rsidRPr="0071724A">
        <w:rPr>
          <w:color w:val="002060"/>
        </w:rPr>
        <w:lastRenderedPageBreak/>
        <w:t>l’effettiva tracciabilità dei pagamenti da parte delle pubbliche amministrazioni prevede l’apposizione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del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codice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identificativo di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gara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(CIG)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e del Codice unico di Progetto (CUP) nelle fatture elettroniche ricevute;</w:t>
      </w:r>
    </w:p>
    <w:p w:rsidR="0014352A" w:rsidRPr="0071724A" w:rsidRDefault="00A61F9F">
      <w:pPr>
        <w:pStyle w:val="Corpotesto"/>
        <w:spacing w:before="117" w:line="362" w:lineRule="auto"/>
        <w:ind w:left="112" w:right="133"/>
        <w:rPr>
          <w:color w:val="002060"/>
        </w:rPr>
      </w:pPr>
      <w:r w:rsidRPr="0071724A">
        <w:rPr>
          <w:color w:val="002060"/>
        </w:rPr>
        <w:t xml:space="preserve">VISTI gli obblighi di assicurare il conseguimento di </w:t>
      </w:r>
      <w:r w:rsidRPr="0071724A">
        <w:rPr>
          <w:i/>
          <w:color w:val="002060"/>
        </w:rPr>
        <w:t xml:space="preserve">target </w:t>
      </w:r>
      <w:r w:rsidRPr="0071724A">
        <w:rPr>
          <w:color w:val="002060"/>
        </w:rPr>
        <w:t xml:space="preserve">e </w:t>
      </w:r>
      <w:r w:rsidRPr="0071724A">
        <w:rPr>
          <w:i/>
          <w:color w:val="002060"/>
        </w:rPr>
        <w:t xml:space="preserve">milestone </w:t>
      </w:r>
      <w:r w:rsidRPr="0071724A">
        <w:rPr>
          <w:color w:val="002060"/>
        </w:rPr>
        <w:t>e degli obiettivi finanziari stabiliti nel PNRR;</w:t>
      </w:r>
    </w:p>
    <w:p w:rsidR="0014352A" w:rsidRPr="0071724A" w:rsidRDefault="00A61F9F" w:rsidP="00912B7D">
      <w:pPr>
        <w:spacing w:before="76" w:line="362" w:lineRule="auto"/>
        <w:ind w:left="112" w:right="255"/>
        <w:jc w:val="both"/>
        <w:rPr>
          <w:color w:val="002060"/>
          <w:sz w:val="24"/>
        </w:rPr>
      </w:pPr>
      <w:r w:rsidRPr="0071724A">
        <w:rPr>
          <w:color w:val="002060"/>
          <w:sz w:val="24"/>
        </w:rPr>
        <w:t>VISTA la circolare n. 21 del Ministero dell’Economia e delle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Finanze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14 ottobre 2021 avente ad oggetto “</w:t>
      </w:r>
      <w:r w:rsidRPr="0071724A">
        <w:rPr>
          <w:i/>
          <w:color w:val="002060"/>
          <w:sz w:val="24"/>
        </w:rPr>
        <w:t>Piano Nazionale di Ripresa e Resilienza (PNRR)</w:t>
      </w:r>
      <w:r w:rsidR="00912B7D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 xml:space="preserve">- Trasmissione delle Istruzioni Tecniche per la selezione dei progetti PNRR </w:t>
      </w:r>
      <w:r w:rsidRPr="0071724A">
        <w:rPr>
          <w:color w:val="002060"/>
          <w:sz w:val="24"/>
        </w:rPr>
        <w:t>”;</w:t>
      </w:r>
    </w:p>
    <w:p w:rsidR="0014352A" w:rsidRPr="0071724A" w:rsidRDefault="0014352A">
      <w:pPr>
        <w:pStyle w:val="Corpotesto"/>
        <w:spacing w:before="7"/>
        <w:ind w:left="0"/>
        <w:jc w:val="left"/>
        <w:rPr>
          <w:color w:val="002060"/>
          <w:sz w:val="22"/>
        </w:rPr>
      </w:pPr>
    </w:p>
    <w:p w:rsidR="0014352A" w:rsidRPr="0071724A" w:rsidRDefault="00A61F9F">
      <w:pPr>
        <w:pStyle w:val="Corpotesto"/>
        <w:spacing w:line="360" w:lineRule="auto"/>
        <w:ind w:left="112" w:right="135"/>
        <w:rPr>
          <w:color w:val="002060"/>
        </w:rPr>
      </w:pPr>
      <w:r w:rsidRPr="0071724A">
        <w:rPr>
          <w:color w:val="002060"/>
        </w:rPr>
        <w:t>VISTI i traguardi e gli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obiettivi che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concorrono alla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presentazione delle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richieste di rimborso semestrali alla Commissione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europea,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ripartiti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per interventi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a titolarità di ciascuna Amministrazione,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riportati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nella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Tabella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B allegata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al Decreto del Ministero delle Economie e delle Finanze del 6 agosto 2021;</w:t>
      </w:r>
    </w:p>
    <w:p w:rsidR="0014352A" w:rsidRPr="0071724A" w:rsidRDefault="00A61F9F">
      <w:pPr>
        <w:spacing w:before="121" w:line="360" w:lineRule="auto"/>
        <w:ind w:left="112" w:right="140"/>
        <w:jc w:val="both"/>
        <w:rPr>
          <w:color w:val="002060"/>
          <w:sz w:val="24"/>
        </w:rPr>
      </w:pPr>
      <w:r w:rsidRPr="0071724A">
        <w:rPr>
          <w:color w:val="002060"/>
          <w:sz w:val="24"/>
        </w:rPr>
        <w:t xml:space="preserve">CONSIDERATO che il punto 7 del Decreto del Ministero delle Economie e delle Finanze del 6 agosto 2021 prevede che “ </w:t>
      </w:r>
      <w:r w:rsidRPr="0071724A">
        <w:rPr>
          <w:i/>
          <w:color w:val="002060"/>
          <w:sz w:val="24"/>
        </w:rPr>
        <w:t>Le singole Amministrazioni inviano, attraverso le specifiche funzionalità del sistema informatico di cui all’articolo 1, comma 1043, della legge 30 dicembre 2020, n. 178 e secondo le indicazioni del Ministero dell’economia e delle finanze – Dipartimento Ragioneria generale dello Stato, i dati relativi allo stato di attuazione delle riforme e degli investimenti ed il raggiungimento dei connessi traguardi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ed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obiettivi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al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fine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della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presentazione, alle scadenze previste, delle richieste d i pagamento alla Commissione europea ai sensi dell’articolo 22 del Regolamento (UE)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2021/ 241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del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Parlamento Europeo e del Consiglio del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12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febbraio 2021,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tenuto conto anche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di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quanto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 xml:space="preserve">concordato con la Commissione Europea. </w:t>
      </w:r>
      <w:r w:rsidRPr="0071724A">
        <w:rPr>
          <w:color w:val="002060"/>
          <w:sz w:val="24"/>
        </w:rPr>
        <w:t xml:space="preserve">”; </w:t>
      </w:r>
    </w:p>
    <w:p w:rsidR="0014352A" w:rsidRPr="0071724A" w:rsidRDefault="00A61F9F">
      <w:pPr>
        <w:pStyle w:val="Corpotesto"/>
        <w:spacing w:before="119"/>
        <w:ind w:left="112"/>
        <w:rPr>
          <w:color w:val="002060"/>
        </w:rPr>
      </w:pPr>
      <w:r w:rsidRPr="0071724A">
        <w:rPr>
          <w:color w:val="002060"/>
        </w:rPr>
        <w:t>VISTA l’intesa espressa dalla Conferenza Unificata nella seduta del……………….</w:t>
      </w:r>
    </w:p>
    <w:p w:rsidR="0014352A" w:rsidRPr="0071724A" w:rsidRDefault="0014352A">
      <w:pPr>
        <w:pStyle w:val="Corpotesto"/>
        <w:ind w:left="0"/>
        <w:jc w:val="left"/>
        <w:rPr>
          <w:color w:val="002060"/>
          <w:sz w:val="26"/>
        </w:rPr>
      </w:pPr>
    </w:p>
    <w:p w:rsidR="0014352A" w:rsidRPr="0071724A" w:rsidRDefault="0014352A">
      <w:pPr>
        <w:pStyle w:val="Corpotesto"/>
        <w:ind w:left="0"/>
        <w:jc w:val="left"/>
        <w:rPr>
          <w:color w:val="002060"/>
          <w:sz w:val="26"/>
        </w:rPr>
      </w:pPr>
    </w:p>
    <w:p w:rsidR="0014352A" w:rsidRPr="0071724A" w:rsidRDefault="00A61F9F" w:rsidP="00C91D74">
      <w:pPr>
        <w:spacing w:before="208"/>
        <w:ind w:right="89"/>
        <w:jc w:val="center"/>
        <w:rPr>
          <w:color w:val="002060"/>
          <w:sz w:val="32"/>
        </w:rPr>
      </w:pPr>
      <w:r w:rsidRPr="0071724A">
        <w:rPr>
          <w:color w:val="002060"/>
          <w:sz w:val="32"/>
        </w:rPr>
        <w:t>DECRETA</w:t>
      </w:r>
    </w:p>
    <w:p w:rsidR="0014352A" w:rsidRPr="0071724A" w:rsidRDefault="0014352A" w:rsidP="00C91D74">
      <w:pPr>
        <w:pStyle w:val="Corpotesto"/>
        <w:ind w:left="0"/>
        <w:jc w:val="left"/>
        <w:rPr>
          <w:color w:val="002060"/>
          <w:sz w:val="26"/>
        </w:rPr>
      </w:pPr>
    </w:p>
    <w:p w:rsidR="0014352A" w:rsidRPr="0071724A" w:rsidRDefault="00A61F9F" w:rsidP="00C91D74">
      <w:pPr>
        <w:ind w:right="-53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Articolo 1</w:t>
      </w:r>
    </w:p>
    <w:p w:rsidR="0014352A" w:rsidRPr="0071724A" w:rsidRDefault="00A61F9F" w:rsidP="00C91D74">
      <w:pPr>
        <w:ind w:right="-53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(Assegnazione e riparto delle risorse)</w:t>
      </w:r>
    </w:p>
    <w:p w:rsidR="0014352A" w:rsidRPr="0071724A" w:rsidRDefault="0014352A" w:rsidP="00C91D74">
      <w:pPr>
        <w:pStyle w:val="Corpotesto"/>
        <w:spacing w:before="5"/>
        <w:ind w:left="0" w:right="-53"/>
        <w:jc w:val="left"/>
        <w:rPr>
          <w:b/>
          <w:color w:val="002060"/>
          <w:sz w:val="34"/>
        </w:rPr>
      </w:pPr>
    </w:p>
    <w:p w:rsidR="0014352A" w:rsidRPr="0071724A" w:rsidRDefault="00A61F9F" w:rsidP="00C91D74">
      <w:pPr>
        <w:pStyle w:val="Paragrafoelenco"/>
        <w:numPr>
          <w:ilvl w:val="0"/>
          <w:numId w:val="9"/>
        </w:numPr>
        <w:tabs>
          <w:tab w:val="left" w:pos="284"/>
        </w:tabs>
        <w:spacing w:before="5" w:line="360" w:lineRule="auto"/>
        <w:ind w:left="284" w:right="135" w:hanging="284"/>
        <w:rPr>
          <w:color w:val="002060"/>
          <w:sz w:val="24"/>
        </w:rPr>
      </w:pPr>
      <w:r w:rsidRPr="0071724A">
        <w:rPr>
          <w:color w:val="002060"/>
          <w:sz w:val="24"/>
        </w:rPr>
        <w:t>Il presente Decreto definisce le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modalità 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utilizzo 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quota delle risorse di cui alla misura M2C2 - 4.4.1 del PNRR pari complessivamente a 1</w:t>
      </w:r>
      <w:r w:rsidR="00821350" w:rsidRPr="0071724A">
        <w:rPr>
          <w:color w:val="002060"/>
          <w:sz w:val="24"/>
        </w:rPr>
        <w:t>.</w:t>
      </w:r>
      <w:r w:rsidRPr="0071724A">
        <w:rPr>
          <w:color w:val="002060"/>
          <w:sz w:val="24"/>
        </w:rPr>
        <w:t>905</w:t>
      </w:r>
      <w:r w:rsidR="00C91D74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 xml:space="preserve">milioni di euro, per gli esercizi dal 2022 al 2026 assegnate dalla tabella A del decreto del Ministro dell’economia e delle finanze del 6 agosto 2021 al Ministero delle infrastrutture e della mobilità sostenibili per </w:t>
      </w:r>
      <w:r w:rsidR="00912B7D" w:rsidRPr="0071724A">
        <w:rPr>
          <w:color w:val="002060"/>
          <w:sz w:val="24"/>
        </w:rPr>
        <w:t>“Rinnovo</w:t>
      </w:r>
      <w:r w:rsidRPr="0071724A">
        <w:rPr>
          <w:i/>
          <w:color w:val="002060"/>
          <w:sz w:val="24"/>
        </w:rPr>
        <w:t xml:space="preserve"> flotte bus e treni verdi – sub-investimento BUS </w:t>
      </w:r>
      <w:r w:rsidRPr="0071724A">
        <w:rPr>
          <w:color w:val="002060"/>
          <w:sz w:val="24"/>
        </w:rPr>
        <w:t>”</w:t>
      </w:r>
    </w:p>
    <w:p w:rsidR="0014352A" w:rsidRPr="0071724A" w:rsidRDefault="00A61F9F" w:rsidP="00C91D74">
      <w:pPr>
        <w:pStyle w:val="Paragrafoelenco"/>
        <w:numPr>
          <w:ilvl w:val="0"/>
          <w:numId w:val="9"/>
        </w:numPr>
        <w:tabs>
          <w:tab w:val="left" w:pos="284"/>
        </w:tabs>
        <w:spacing w:before="76" w:line="360" w:lineRule="auto"/>
        <w:ind w:left="284" w:right="131" w:hanging="284"/>
        <w:rPr>
          <w:color w:val="002060"/>
          <w:sz w:val="24"/>
          <w:szCs w:val="24"/>
        </w:rPr>
      </w:pPr>
      <w:r w:rsidRPr="0071724A">
        <w:rPr>
          <w:color w:val="002060"/>
          <w:sz w:val="24"/>
        </w:rPr>
        <w:t>Le risorse di cui al comma 1 sono destinate all’acquisto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autobus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 xml:space="preserve">ad emissioni zero con </w:t>
      </w:r>
      <w:r w:rsidRPr="0071724A">
        <w:rPr>
          <w:color w:val="002060"/>
          <w:sz w:val="24"/>
        </w:rPr>
        <w:lastRenderedPageBreak/>
        <w:t xml:space="preserve">alimentazione elettrica o ad idrogeno e </w:t>
      </w:r>
      <w:r w:rsidR="00CD041A" w:rsidRPr="0071724A">
        <w:rPr>
          <w:color w:val="002060"/>
          <w:sz w:val="24"/>
        </w:rPr>
        <w:t>al</w:t>
      </w:r>
      <w:r w:rsidRPr="0071724A">
        <w:rPr>
          <w:color w:val="002060"/>
          <w:sz w:val="24"/>
        </w:rPr>
        <w:t>la realizzazione</w:t>
      </w:r>
      <w:r w:rsidR="0094330D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delle relative infrastrutture di supporto all’alimentazione, per i</w:t>
      </w:r>
      <w:r w:rsidR="00CD041A" w:rsidRPr="0071724A">
        <w:rPr>
          <w:color w:val="002060"/>
          <w:sz w:val="24"/>
        </w:rPr>
        <w:t>l rinnovo del parco veicoli dei</w:t>
      </w:r>
      <w:r w:rsidRPr="0071724A">
        <w:rPr>
          <w:color w:val="002060"/>
          <w:sz w:val="24"/>
        </w:rPr>
        <w:t xml:space="preserve"> servizi di trasporto pubblico locale, </w:t>
      </w:r>
      <w:r w:rsidR="00CD041A" w:rsidRPr="0071724A">
        <w:rPr>
          <w:color w:val="002060"/>
          <w:sz w:val="24"/>
        </w:rPr>
        <w:t>n</w:t>
      </w:r>
      <w:r w:rsidRPr="0071724A">
        <w:rPr>
          <w:color w:val="002060"/>
          <w:sz w:val="24"/>
        </w:rPr>
        <w:t xml:space="preserve">ei Comuni capoluogo di Città Metropolitana, </w:t>
      </w:r>
      <w:r w:rsidR="00CD041A" w:rsidRPr="0071724A">
        <w:rPr>
          <w:color w:val="002060"/>
          <w:sz w:val="24"/>
        </w:rPr>
        <w:t xml:space="preserve">nei </w:t>
      </w:r>
      <w:r w:rsidRPr="0071724A">
        <w:rPr>
          <w:color w:val="002060"/>
          <w:sz w:val="24"/>
        </w:rPr>
        <w:t>Comuni capoluogo di Regione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o 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Province autonome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 xml:space="preserve">e </w:t>
      </w:r>
      <w:r w:rsidR="00CD041A" w:rsidRPr="0071724A">
        <w:rPr>
          <w:color w:val="002060"/>
          <w:sz w:val="24"/>
        </w:rPr>
        <w:t xml:space="preserve">nei </w:t>
      </w:r>
      <w:r w:rsidRPr="0071724A">
        <w:rPr>
          <w:color w:val="002060"/>
          <w:sz w:val="24"/>
        </w:rPr>
        <w:t xml:space="preserve">Comuni con alto tasso di inquinamento </w:t>
      </w:r>
      <w:r w:rsidRPr="0071724A">
        <w:rPr>
          <w:color w:val="002060"/>
          <w:sz w:val="24"/>
          <w:szCs w:val="24"/>
        </w:rPr>
        <w:t xml:space="preserve">da PM </w:t>
      </w:r>
      <w:r w:rsidRPr="0071724A">
        <w:rPr>
          <w:color w:val="002060"/>
          <w:sz w:val="24"/>
          <w:szCs w:val="24"/>
          <w:vertAlign w:val="subscript"/>
        </w:rPr>
        <w:t>10</w:t>
      </w:r>
      <w:r w:rsidRPr="0071724A">
        <w:rPr>
          <w:color w:val="002060"/>
          <w:sz w:val="24"/>
          <w:szCs w:val="24"/>
        </w:rPr>
        <w:t xml:space="preserve"> e biossido di azoto come individuati nell’Allegato 1 al presente Decreto.</w:t>
      </w:r>
    </w:p>
    <w:p w:rsidR="0014352A" w:rsidRPr="0071724A" w:rsidRDefault="00A61F9F" w:rsidP="00C91D74">
      <w:pPr>
        <w:pStyle w:val="Paragrafoelenco"/>
        <w:numPr>
          <w:ilvl w:val="0"/>
          <w:numId w:val="9"/>
        </w:numPr>
        <w:tabs>
          <w:tab w:val="left" w:pos="284"/>
        </w:tabs>
        <w:spacing w:before="3" w:line="360" w:lineRule="auto"/>
        <w:ind w:left="284" w:hanging="284"/>
        <w:rPr>
          <w:color w:val="002060"/>
          <w:sz w:val="24"/>
        </w:rPr>
      </w:pPr>
      <w:r w:rsidRPr="0071724A">
        <w:rPr>
          <w:color w:val="002060"/>
          <w:sz w:val="24"/>
        </w:rPr>
        <w:t>Il riparto delle risorse tra i Comuni beneficiari,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con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l’indicazione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della quantità di mezzi da acquistare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e relativa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tempistica è riportato nell’Allegato 1 al presente Decreto.</w:t>
      </w:r>
    </w:p>
    <w:p w:rsidR="0014352A" w:rsidRPr="0071724A" w:rsidRDefault="00A61F9F" w:rsidP="00C91D74">
      <w:pPr>
        <w:pStyle w:val="Paragrafoelenco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rPr>
          <w:color w:val="002060"/>
          <w:sz w:val="24"/>
        </w:rPr>
      </w:pPr>
      <w:r w:rsidRPr="0071724A">
        <w:rPr>
          <w:color w:val="002060"/>
          <w:sz w:val="24"/>
        </w:rPr>
        <w:t>Il finanziamento degli interventi è disposto con successivo Decreto del Ministero delle infrastrutture e della mobilità sostenibili, a seguito della manifestazione di interesse e dell’individuazione del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dettaglio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degli interventi attraverso i codici unici di progetto (CUP)</w:t>
      </w:r>
      <w:r w:rsidR="00821350" w:rsidRPr="0071724A">
        <w:rPr>
          <w:color w:val="002060"/>
          <w:sz w:val="24"/>
        </w:rPr>
        <w:t>,</w:t>
      </w:r>
      <w:r w:rsidRPr="0071724A">
        <w:rPr>
          <w:color w:val="002060"/>
          <w:sz w:val="24"/>
        </w:rPr>
        <w:t xml:space="preserve"> di cui al successivo articolo 6</w:t>
      </w:r>
      <w:r w:rsidR="00821350" w:rsidRPr="0071724A">
        <w:rPr>
          <w:color w:val="002060"/>
          <w:sz w:val="24"/>
        </w:rPr>
        <w:t>.</w:t>
      </w:r>
    </w:p>
    <w:p w:rsidR="0014352A" w:rsidRPr="0071724A" w:rsidRDefault="00A61F9F" w:rsidP="00C91D74">
      <w:pPr>
        <w:pStyle w:val="Paragrafoelenco"/>
        <w:numPr>
          <w:ilvl w:val="0"/>
          <w:numId w:val="9"/>
        </w:numPr>
        <w:tabs>
          <w:tab w:val="left" w:pos="284"/>
        </w:tabs>
        <w:spacing w:before="1" w:line="360" w:lineRule="auto"/>
        <w:ind w:left="284" w:right="144" w:hanging="284"/>
        <w:rPr>
          <w:color w:val="002060"/>
          <w:sz w:val="24"/>
        </w:rPr>
      </w:pPr>
      <w:r w:rsidRPr="0071724A">
        <w:rPr>
          <w:color w:val="002060"/>
          <w:sz w:val="24"/>
        </w:rPr>
        <w:t>I CUP di cui al decreto del precedente comma, a pena nullità dell’atto che lo autorizza, devono essere validi, ai sensi dell’art 11 commi 2bis, 2 ter, della legge 16 gennaio 2003.</w:t>
      </w:r>
    </w:p>
    <w:p w:rsidR="0014352A" w:rsidRPr="0071724A" w:rsidRDefault="0014352A" w:rsidP="00C91D74">
      <w:pPr>
        <w:pStyle w:val="Corpotesto"/>
        <w:spacing w:before="2"/>
        <w:ind w:left="0"/>
        <w:jc w:val="left"/>
        <w:rPr>
          <w:color w:val="002060"/>
          <w:sz w:val="22"/>
        </w:rPr>
      </w:pPr>
    </w:p>
    <w:p w:rsidR="0014352A" w:rsidRPr="0071724A" w:rsidRDefault="00A61F9F" w:rsidP="00C91D74">
      <w:pPr>
        <w:ind w:left="2948" w:right="2977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Articolo 2</w:t>
      </w:r>
    </w:p>
    <w:p w:rsidR="0014352A" w:rsidRPr="0071724A" w:rsidRDefault="00A61F9F" w:rsidP="00C91D74">
      <w:pPr>
        <w:ind w:left="1968" w:right="2000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(Modalità di utilizzo delle risorse)</w:t>
      </w:r>
    </w:p>
    <w:p w:rsidR="0014352A" w:rsidRPr="0071724A" w:rsidRDefault="0014352A" w:rsidP="00C91D74">
      <w:pPr>
        <w:pStyle w:val="Corpotesto"/>
        <w:ind w:left="0"/>
        <w:jc w:val="left"/>
        <w:rPr>
          <w:b/>
          <w:color w:val="002060"/>
        </w:rPr>
      </w:pPr>
    </w:p>
    <w:p w:rsidR="0014352A" w:rsidRPr="0071724A" w:rsidRDefault="00A61F9F" w:rsidP="00C91D74">
      <w:pPr>
        <w:pStyle w:val="Paragrafoelenco"/>
        <w:numPr>
          <w:ilvl w:val="0"/>
          <w:numId w:val="8"/>
        </w:numPr>
        <w:tabs>
          <w:tab w:val="left" w:pos="284"/>
        </w:tabs>
        <w:spacing w:line="360" w:lineRule="auto"/>
        <w:ind w:left="284" w:right="130" w:hanging="284"/>
        <w:rPr>
          <w:color w:val="002060"/>
          <w:sz w:val="24"/>
        </w:rPr>
      </w:pPr>
      <w:r w:rsidRPr="0071724A">
        <w:rPr>
          <w:color w:val="002060"/>
          <w:sz w:val="24"/>
        </w:rPr>
        <w:t>Con l’assegnazione delle risorse di cui all’articolo 1 i Comuni – come individuati nell’ Allegato 1 al presente Decreto - si impegnano a raggiungere traguardi ed obiettivi con riferimento a quanto previsto nel Decreto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del Ministro dell’economia e delle finanze del 6 agosto 2021, Allegato 2, per l’investimento 4 -sub-investimento 4. 4.1, nel rispetto delle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condizionalità e nei tempi ivi previsti, nonché delle eventuali ed ulteriori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 xml:space="preserve">condizionalità previste dal PNRR. In particolare i Comuni si impegnano a ultimare le forniture </w:t>
      </w:r>
      <w:r w:rsidR="00A26F31" w:rsidRPr="0071724A">
        <w:rPr>
          <w:color w:val="002060"/>
          <w:sz w:val="24"/>
        </w:rPr>
        <w:t xml:space="preserve">e a mettere in servizio gli </w:t>
      </w:r>
      <w:r w:rsidRPr="0071724A">
        <w:rPr>
          <w:color w:val="002060"/>
          <w:sz w:val="24"/>
        </w:rPr>
        <w:t>autobus</w:t>
      </w:r>
      <w:r w:rsidR="00A26F31" w:rsidRPr="0071724A">
        <w:rPr>
          <w:color w:val="002060"/>
          <w:sz w:val="24"/>
        </w:rPr>
        <w:t>,</w:t>
      </w:r>
      <w:r w:rsidRPr="0071724A">
        <w:rPr>
          <w:color w:val="002060"/>
          <w:sz w:val="24"/>
        </w:rPr>
        <w:t xml:space="preserve"> elettrici o ad idrogeno</w:t>
      </w:r>
      <w:r w:rsidR="00A26F31" w:rsidRPr="0071724A">
        <w:rPr>
          <w:color w:val="002060"/>
          <w:sz w:val="24"/>
        </w:rPr>
        <w:t>,</w:t>
      </w:r>
      <w:r w:rsidRPr="0071724A">
        <w:rPr>
          <w:color w:val="002060"/>
          <w:sz w:val="24"/>
        </w:rPr>
        <w:t xml:space="preserve"> loro finanziate per un numero di </w:t>
      </w:r>
      <w:r w:rsidR="00A26F31" w:rsidRPr="0071724A">
        <w:rPr>
          <w:color w:val="002060"/>
          <w:sz w:val="24"/>
        </w:rPr>
        <w:t xml:space="preserve">veicoli </w:t>
      </w:r>
      <w:r w:rsidRPr="0071724A">
        <w:rPr>
          <w:color w:val="002060"/>
          <w:sz w:val="24"/>
        </w:rPr>
        <w:t>pari o superiore al numero riportato nell’Allegato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1</w:t>
      </w:r>
      <w:r w:rsidR="00821350" w:rsidRPr="0071724A">
        <w:rPr>
          <w:color w:val="002060"/>
          <w:sz w:val="24"/>
        </w:rPr>
        <w:t>,</w:t>
      </w:r>
      <w:r w:rsidRPr="0071724A">
        <w:rPr>
          <w:color w:val="002060"/>
          <w:sz w:val="24"/>
        </w:rPr>
        <w:t xml:space="preserve"> secondo le tempistiche ivi riportate, al fine di garantire il complessivo raggiungimento dei seguenti traguardi:</w:t>
      </w:r>
    </w:p>
    <w:p w:rsidR="0014352A" w:rsidRPr="0071724A" w:rsidRDefault="00A61F9F" w:rsidP="00C91D74">
      <w:pPr>
        <w:pStyle w:val="Corpotesto"/>
        <w:numPr>
          <w:ilvl w:val="0"/>
          <w:numId w:val="11"/>
        </w:numPr>
        <w:spacing w:before="124" w:line="333" w:lineRule="auto"/>
        <w:ind w:left="709" w:right="142" w:hanging="425"/>
        <w:rPr>
          <w:color w:val="002060"/>
        </w:rPr>
      </w:pPr>
      <w:r w:rsidRPr="0071724A">
        <w:rPr>
          <w:color w:val="002060"/>
        </w:rPr>
        <w:t>acquisto di almeno 717 autobus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ad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alimentazione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elettrica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o ad idrogeno entro il 31 dicembre 2024;</w:t>
      </w:r>
    </w:p>
    <w:p w:rsidR="0014352A" w:rsidRPr="0071724A" w:rsidRDefault="000F4B78" w:rsidP="00C91D74">
      <w:pPr>
        <w:pStyle w:val="Corpotesto"/>
        <w:numPr>
          <w:ilvl w:val="0"/>
          <w:numId w:val="11"/>
        </w:numPr>
        <w:spacing w:before="76" w:line="348" w:lineRule="auto"/>
        <w:ind w:left="709" w:right="134" w:hanging="425"/>
        <w:rPr>
          <w:color w:val="002060"/>
        </w:rPr>
      </w:pPr>
      <w:r w:rsidRPr="0071724A">
        <w:rPr>
          <w:color w:val="002060"/>
        </w:rPr>
        <w:t xml:space="preserve">Entrata in servizio di almeno </w:t>
      </w:r>
      <w:r w:rsidR="00A61F9F" w:rsidRPr="0071724A">
        <w:rPr>
          <w:color w:val="002060"/>
        </w:rPr>
        <w:t>di almeno 2</w:t>
      </w:r>
      <w:r w:rsidR="00C91D74" w:rsidRPr="0071724A">
        <w:rPr>
          <w:color w:val="002060"/>
        </w:rPr>
        <w:t>.</w:t>
      </w:r>
      <w:r w:rsidR="00A61F9F" w:rsidRPr="0071724A">
        <w:rPr>
          <w:color w:val="002060"/>
        </w:rPr>
        <w:t>690 autobus ad alimentazione</w:t>
      </w:r>
      <w:r w:rsidR="00E64939" w:rsidRPr="0071724A">
        <w:rPr>
          <w:color w:val="002060"/>
        </w:rPr>
        <w:t xml:space="preserve"> </w:t>
      </w:r>
      <w:r w:rsidR="00A61F9F" w:rsidRPr="0071724A">
        <w:rPr>
          <w:color w:val="002060"/>
        </w:rPr>
        <w:t>elettrica</w:t>
      </w:r>
      <w:r w:rsidR="00E64939" w:rsidRPr="0071724A">
        <w:rPr>
          <w:color w:val="002060"/>
        </w:rPr>
        <w:t xml:space="preserve"> </w:t>
      </w:r>
      <w:r w:rsidR="00A61F9F" w:rsidRPr="0071724A">
        <w:rPr>
          <w:color w:val="002060"/>
        </w:rPr>
        <w:t>o ad idrogeno, comprensivi della quantità intermedia di cui sopra, entro il 30 giugno 2026.</w:t>
      </w:r>
    </w:p>
    <w:p w:rsidR="0014352A" w:rsidRPr="0071724A" w:rsidRDefault="00A61F9F" w:rsidP="00C91D74">
      <w:pPr>
        <w:pStyle w:val="Paragrafoelenco"/>
        <w:numPr>
          <w:ilvl w:val="0"/>
          <w:numId w:val="8"/>
        </w:numPr>
        <w:tabs>
          <w:tab w:val="left" w:pos="284"/>
        </w:tabs>
        <w:spacing w:line="360" w:lineRule="auto"/>
        <w:ind w:left="284" w:right="130" w:hanging="284"/>
        <w:rPr>
          <w:color w:val="002060"/>
          <w:sz w:val="24"/>
        </w:rPr>
      </w:pPr>
      <w:r w:rsidRPr="0071724A">
        <w:rPr>
          <w:color w:val="002060"/>
          <w:sz w:val="24"/>
        </w:rPr>
        <w:t>I Comuni si impegnano altresì a rispettare le disposizioni per la gestione, controllo e valutazione, ivi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inclusi gli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obblighi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in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materia 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comunicazione e informazione previsti dall’art. 34 del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Regolamento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(UE)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2021 /241,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a partire dall’impegno a mostrare correttamente e in modo visibile in tutte le attività di comunicazione a livello di progetto l’emblema dell’UE con un’appropriata dichiarazione di finanziamento che reciti “</w:t>
      </w:r>
      <w:r w:rsidRPr="0071724A">
        <w:rPr>
          <w:i/>
          <w:color w:val="002060"/>
          <w:sz w:val="24"/>
        </w:rPr>
        <w:t>finanziato dall’Unione europea – Next GenerationEU</w:t>
      </w:r>
      <w:r w:rsidRPr="0071724A">
        <w:rPr>
          <w:color w:val="002060"/>
          <w:sz w:val="24"/>
        </w:rPr>
        <w:t xml:space="preserve">” per come indicato nella circolare RGS n. 21 del 14 ottobre 2021, e ad inserire nella </w:t>
      </w:r>
      <w:r w:rsidRPr="0071724A">
        <w:rPr>
          <w:color w:val="002060"/>
          <w:sz w:val="24"/>
        </w:rPr>
        <w:lastRenderedPageBreak/>
        <w:t>documentazione di gara i necessari elementi volti a garantire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rispetto del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principio di non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 xml:space="preserve">arrecare un danno significativo come previsto dall’articolo 17 del Regolamento (UE) 2020/852 - sistema di “ </w:t>
      </w:r>
      <w:r w:rsidRPr="0071724A">
        <w:rPr>
          <w:i/>
          <w:color w:val="002060"/>
          <w:sz w:val="24"/>
        </w:rPr>
        <w:t>Tassonomia per la finanza sostenibile</w:t>
      </w:r>
      <w:r w:rsidRPr="0071724A">
        <w:rPr>
          <w:color w:val="002060"/>
          <w:sz w:val="24"/>
        </w:rPr>
        <w:t>” e il raggiungimento degli obiettivi climatici e digitali previsti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per l’investimento di competenza.</w:t>
      </w:r>
    </w:p>
    <w:p w:rsidR="0014352A" w:rsidRPr="0071724A" w:rsidRDefault="00A61F9F" w:rsidP="00BB588A">
      <w:pPr>
        <w:pStyle w:val="Paragrafoelenco"/>
        <w:numPr>
          <w:ilvl w:val="0"/>
          <w:numId w:val="8"/>
        </w:numPr>
        <w:tabs>
          <w:tab w:val="left" w:pos="284"/>
        </w:tabs>
        <w:spacing w:line="360" w:lineRule="auto"/>
        <w:ind w:left="284" w:right="130" w:hanging="284"/>
        <w:rPr>
          <w:color w:val="002060"/>
          <w:sz w:val="24"/>
        </w:rPr>
      </w:pPr>
      <w:r w:rsidRPr="0071724A">
        <w:rPr>
          <w:color w:val="002060"/>
          <w:sz w:val="24"/>
        </w:rPr>
        <w:t>Gli interventi sono attuati, nel rispetto della normativa vigente, dai Comuni beneficiari delle risorse di cui all’Allegato 1</w:t>
      </w:r>
      <w:r w:rsidR="00821350" w:rsidRPr="0071724A">
        <w:rPr>
          <w:color w:val="002060"/>
          <w:sz w:val="24"/>
        </w:rPr>
        <w:t>.</w:t>
      </w:r>
      <w:r w:rsidRPr="0071724A">
        <w:rPr>
          <w:color w:val="002060"/>
          <w:sz w:val="24"/>
        </w:rPr>
        <w:t xml:space="preserve"> Nel caso in cui il contratto di servizio è sottoscritto da altra pubblica Amministrazione o da altro soggetto individuato dalla normativa regionale, le risorse possono essere messe a disposizione dei soggetti in parola, tramite specifica convenzione, al fine di assicurare una organica ed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efficace gestione delle politiche 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rinnovo del parco rotabile su gomma adibito al TPL, fermo restando i vincoli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 destinazione e reversibilità di cui agli articoli 8 e 9.</w:t>
      </w:r>
    </w:p>
    <w:p w:rsidR="00BB588A" w:rsidRPr="0071724A" w:rsidRDefault="00A61F9F" w:rsidP="00BB588A">
      <w:pPr>
        <w:pStyle w:val="Paragrafoelenco"/>
        <w:numPr>
          <w:ilvl w:val="0"/>
          <w:numId w:val="8"/>
        </w:numPr>
        <w:tabs>
          <w:tab w:val="left" w:pos="284"/>
        </w:tabs>
        <w:spacing w:line="360" w:lineRule="auto"/>
        <w:ind w:left="284" w:right="130" w:hanging="284"/>
        <w:rPr>
          <w:color w:val="002060"/>
          <w:sz w:val="24"/>
        </w:rPr>
      </w:pPr>
      <w:r w:rsidRPr="0071724A">
        <w:rPr>
          <w:color w:val="002060"/>
          <w:sz w:val="24"/>
        </w:rPr>
        <w:t>Ciascun Comune individuato nell’ Allegato 1 al presente decreto, nonché eventuale altro soggetto di cui al comma precedente, potrà altresì affidare la gestione e quindi l'espletamento delle gare per l'acquisto di veicoli adibiti al trasporto pubblico locale, anche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all’attuale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soggetto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affidatario dei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servizi del TPL, previa apposita convenzione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stipulare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con il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predetto affidatario. Nella convenzione dovranno essere espressamente richiamati i vincoli di destinazione e di reversibilità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veicoli,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così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come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previsto anche nei successivi articoli 8 e 9 del presente decreto. I Comuni di cui all’Allegato 1 restano comunque beneficiari e responsabili delle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risorse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ad essi assegnate.</w:t>
      </w:r>
    </w:p>
    <w:p w:rsidR="0014352A" w:rsidRPr="0071724A" w:rsidRDefault="00A61F9F" w:rsidP="00BB588A">
      <w:pPr>
        <w:tabs>
          <w:tab w:val="left" w:pos="284"/>
        </w:tabs>
        <w:spacing w:line="360" w:lineRule="auto"/>
        <w:ind w:left="284" w:right="130"/>
        <w:jc w:val="both"/>
        <w:rPr>
          <w:color w:val="002060"/>
          <w:sz w:val="24"/>
        </w:rPr>
      </w:pPr>
      <w:r w:rsidRPr="0071724A">
        <w:rPr>
          <w:color w:val="002060"/>
          <w:sz w:val="24"/>
        </w:rPr>
        <w:t>I soggetti attuatori attestano, anche tramite il monitoraggio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cui all’articolo 11 che le forniture non sono oggetto, per la quota ammessa a finanziamento con il presente decreto, 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altri finanziamenti diversi da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quelli di cui alla misura M2C2 – 4.4.1 del PNRR.</w:t>
      </w:r>
    </w:p>
    <w:p w:rsidR="0014352A" w:rsidRPr="0071724A" w:rsidRDefault="0014352A" w:rsidP="00C91D74">
      <w:pPr>
        <w:pStyle w:val="Corpotesto"/>
        <w:spacing w:before="6"/>
        <w:ind w:left="0"/>
        <w:jc w:val="left"/>
        <w:rPr>
          <w:color w:val="002060"/>
          <w:sz w:val="34"/>
        </w:rPr>
      </w:pPr>
    </w:p>
    <w:p w:rsidR="0014352A" w:rsidRPr="0071724A" w:rsidRDefault="00A61F9F" w:rsidP="00C91D74">
      <w:pPr>
        <w:ind w:left="2948" w:right="2977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Articolo 3</w:t>
      </w:r>
    </w:p>
    <w:p w:rsidR="0014352A" w:rsidRPr="0071724A" w:rsidRDefault="00A61F9F" w:rsidP="00C91D74">
      <w:pPr>
        <w:ind w:left="2953" w:right="2977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(Spese ammissibili - Tempistica)</w:t>
      </w:r>
    </w:p>
    <w:p w:rsidR="0014352A" w:rsidRPr="0071724A" w:rsidRDefault="0014352A" w:rsidP="00C91D74">
      <w:pPr>
        <w:pStyle w:val="Corpotesto"/>
        <w:ind w:left="0"/>
        <w:jc w:val="left"/>
        <w:rPr>
          <w:b/>
          <w:color w:val="002060"/>
        </w:rPr>
      </w:pPr>
    </w:p>
    <w:p w:rsidR="0014352A" w:rsidRPr="0071724A" w:rsidRDefault="00A61F9F" w:rsidP="00BB588A">
      <w:pPr>
        <w:pStyle w:val="Paragrafoelenco"/>
        <w:numPr>
          <w:ilvl w:val="0"/>
          <w:numId w:val="13"/>
        </w:numPr>
        <w:tabs>
          <w:tab w:val="left" w:pos="426"/>
        </w:tabs>
        <w:spacing w:line="360" w:lineRule="auto"/>
        <w:ind w:left="426" w:right="130" w:hanging="426"/>
        <w:rPr>
          <w:color w:val="002060"/>
          <w:sz w:val="24"/>
        </w:rPr>
      </w:pPr>
      <w:r w:rsidRPr="0071724A">
        <w:rPr>
          <w:color w:val="002060"/>
          <w:sz w:val="24"/>
        </w:rPr>
        <w:t>Le risorse di cui all’articolo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1 sono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utilizzate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esclusivamente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per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la copertura dei costi per le forniture di autobus ad alimentazione elettrica o ad idrogeno. E’ ammessa anche la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realizzazione delle infrastrutture 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supporto per l’alimentazione dei veicoli ai sensi di quanto previsto dal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successivo articolo 5</w:t>
      </w:r>
      <w:r w:rsidR="00821350" w:rsidRPr="0071724A">
        <w:rPr>
          <w:color w:val="002060"/>
          <w:sz w:val="24"/>
        </w:rPr>
        <w:t>.</w:t>
      </w:r>
    </w:p>
    <w:p w:rsidR="0014352A" w:rsidRPr="0071724A" w:rsidRDefault="00A61F9F" w:rsidP="00BB588A">
      <w:pPr>
        <w:pStyle w:val="Paragrafoelenco"/>
        <w:numPr>
          <w:ilvl w:val="0"/>
          <w:numId w:val="13"/>
        </w:numPr>
        <w:tabs>
          <w:tab w:val="left" w:pos="426"/>
        </w:tabs>
        <w:spacing w:line="360" w:lineRule="auto"/>
        <w:ind w:left="426" w:right="130" w:hanging="426"/>
        <w:rPr>
          <w:color w:val="002060"/>
          <w:sz w:val="24"/>
        </w:rPr>
      </w:pPr>
      <w:r w:rsidRPr="0071724A">
        <w:rPr>
          <w:color w:val="002060"/>
          <w:sz w:val="24"/>
        </w:rPr>
        <w:t>Le risorse stanziate non potranno essere utilizzate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per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la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copertura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 eventuali contenziosi che dovessero insorgere nell’affidamento ed esecuzione delle forniture.</w:t>
      </w:r>
    </w:p>
    <w:p w:rsidR="0014352A" w:rsidRPr="0071724A" w:rsidRDefault="00A61F9F" w:rsidP="00BB588A">
      <w:pPr>
        <w:pStyle w:val="Paragrafoelenco"/>
        <w:numPr>
          <w:ilvl w:val="0"/>
          <w:numId w:val="13"/>
        </w:numPr>
        <w:tabs>
          <w:tab w:val="left" w:pos="426"/>
        </w:tabs>
        <w:spacing w:line="360" w:lineRule="auto"/>
        <w:ind w:left="426" w:right="130" w:hanging="426"/>
        <w:rPr>
          <w:color w:val="002060"/>
          <w:sz w:val="24"/>
        </w:rPr>
      </w:pPr>
      <w:r w:rsidRPr="0071724A">
        <w:rPr>
          <w:color w:val="002060"/>
          <w:sz w:val="24"/>
        </w:rPr>
        <w:t>Sono ammesse a contributo le forniture dei mezzi le cui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procedure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siano iniziate in data successiva al 1 marzo 2020 con atti formali, quali determina a contrarre o assimilabili e siano state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eseguite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nel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rispetto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quanto stabilito dal presente decreto e dal D.lgs. 50 /2016 e s.m.i.</w:t>
      </w:r>
    </w:p>
    <w:p w:rsidR="0014352A" w:rsidRPr="0071724A" w:rsidRDefault="00A61F9F" w:rsidP="00BB588A">
      <w:pPr>
        <w:pStyle w:val="Paragrafoelenco"/>
        <w:numPr>
          <w:ilvl w:val="0"/>
          <w:numId w:val="13"/>
        </w:numPr>
        <w:tabs>
          <w:tab w:val="left" w:pos="426"/>
        </w:tabs>
        <w:spacing w:line="360" w:lineRule="auto"/>
        <w:ind w:left="426" w:right="130" w:hanging="426"/>
        <w:rPr>
          <w:color w:val="002060"/>
          <w:sz w:val="24"/>
        </w:rPr>
      </w:pPr>
      <w:r w:rsidRPr="0071724A">
        <w:rPr>
          <w:color w:val="002060"/>
          <w:sz w:val="24"/>
        </w:rPr>
        <w:t>Nel caso 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progetti realizzati per il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tramite 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 xml:space="preserve">soggetti attuatori, individuati ai sensi dell’articolo 2 comma 4, l’atto formale che attesta l’inizio delle procedure, assimilabili alla determina a </w:t>
      </w:r>
      <w:r w:rsidRPr="0071724A">
        <w:rPr>
          <w:color w:val="002060"/>
          <w:sz w:val="24"/>
        </w:rPr>
        <w:lastRenderedPageBreak/>
        <w:t>contrarre dell’ente beneficiario è da intendersi la stipula del contratto di fornitura, atto dal quale sorgono le obbligazioni giuridicamente vincolanti.</w:t>
      </w:r>
    </w:p>
    <w:p w:rsidR="0014352A" w:rsidRPr="0071724A" w:rsidRDefault="00A61F9F" w:rsidP="00BB588A">
      <w:pPr>
        <w:pStyle w:val="Paragrafoelenco"/>
        <w:numPr>
          <w:ilvl w:val="0"/>
          <w:numId w:val="13"/>
        </w:numPr>
        <w:tabs>
          <w:tab w:val="left" w:pos="426"/>
        </w:tabs>
        <w:spacing w:line="360" w:lineRule="auto"/>
        <w:ind w:left="426" w:right="130" w:hanging="426"/>
        <w:rPr>
          <w:color w:val="002060"/>
          <w:sz w:val="24"/>
        </w:rPr>
      </w:pPr>
      <w:r w:rsidRPr="0071724A">
        <w:rPr>
          <w:color w:val="002060"/>
          <w:sz w:val="24"/>
        </w:rPr>
        <w:t>Per le risorse di cui all’articolo 1 i contratti relativi alle forniture devono essere aggiudicati entro il 31 dicembre 2023, pena la revoca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del finanziamento.</w:t>
      </w:r>
    </w:p>
    <w:p w:rsidR="0014352A" w:rsidRPr="0071724A" w:rsidRDefault="00A61F9F" w:rsidP="00BB588A">
      <w:pPr>
        <w:pStyle w:val="Paragrafoelenco"/>
        <w:numPr>
          <w:ilvl w:val="0"/>
          <w:numId w:val="13"/>
        </w:numPr>
        <w:tabs>
          <w:tab w:val="left" w:pos="426"/>
        </w:tabs>
        <w:spacing w:line="360" w:lineRule="auto"/>
        <w:ind w:left="426" w:right="130" w:hanging="426"/>
        <w:rPr>
          <w:color w:val="002060"/>
          <w:sz w:val="24"/>
        </w:rPr>
      </w:pPr>
      <w:r w:rsidRPr="0071724A">
        <w:rPr>
          <w:color w:val="002060"/>
          <w:sz w:val="24"/>
        </w:rPr>
        <w:t>I Comuni beneficiari delle risorse di cui all’articolo 1, devono conseguire il traguardo intermedio con</w:t>
      </w:r>
      <w:r w:rsidR="00BB5FC0" w:rsidRPr="0071724A">
        <w:rPr>
          <w:color w:val="002060"/>
          <w:sz w:val="24"/>
        </w:rPr>
        <w:t xml:space="preserve"> l’effettiva fornitura</w:t>
      </w:r>
      <w:r w:rsidRPr="0071724A">
        <w:rPr>
          <w:color w:val="002060"/>
          <w:sz w:val="24"/>
        </w:rPr>
        <w:t xml:space="preserve"> della quantità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minima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autobus indicata nell’Allegato 1 del presente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Decreto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entro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il 31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Dicembre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2024, pena la revoca del finanziamento</w:t>
      </w:r>
      <w:r w:rsidR="00821350" w:rsidRPr="0071724A">
        <w:rPr>
          <w:color w:val="002060"/>
          <w:sz w:val="24"/>
        </w:rPr>
        <w:t>.</w:t>
      </w:r>
    </w:p>
    <w:p w:rsidR="0014352A" w:rsidRPr="0071724A" w:rsidRDefault="00A61F9F" w:rsidP="00BB588A">
      <w:pPr>
        <w:pStyle w:val="Paragrafoelenco"/>
        <w:numPr>
          <w:ilvl w:val="0"/>
          <w:numId w:val="13"/>
        </w:numPr>
        <w:tabs>
          <w:tab w:val="left" w:pos="426"/>
        </w:tabs>
        <w:spacing w:line="360" w:lineRule="auto"/>
        <w:ind w:left="426" w:right="130" w:hanging="426"/>
        <w:rPr>
          <w:color w:val="002060"/>
          <w:sz w:val="24"/>
        </w:rPr>
      </w:pPr>
      <w:r w:rsidRPr="0071724A">
        <w:rPr>
          <w:color w:val="002060"/>
          <w:sz w:val="24"/>
        </w:rPr>
        <w:t>I Comuni beneficiari delle risorse di cui all’articolo 1, devono conseguire l’obiettivo finale e completare il programma delle forniture con l’entrata in servizio della quantità minima di autobus indicata nell’Allegato 1 al presente Decreto entro il 30 Giugno 2026, pena la decadenza dal finanziamento.</w:t>
      </w:r>
    </w:p>
    <w:p w:rsidR="0014352A" w:rsidRPr="0071724A" w:rsidRDefault="00A61F9F" w:rsidP="00BB588A">
      <w:pPr>
        <w:pStyle w:val="Paragrafoelenco"/>
        <w:numPr>
          <w:ilvl w:val="0"/>
          <w:numId w:val="13"/>
        </w:numPr>
        <w:tabs>
          <w:tab w:val="left" w:pos="426"/>
        </w:tabs>
        <w:spacing w:line="360" w:lineRule="auto"/>
        <w:ind w:left="426" w:right="130" w:hanging="426"/>
        <w:rPr>
          <w:color w:val="002060"/>
          <w:sz w:val="24"/>
        </w:rPr>
      </w:pPr>
      <w:r w:rsidRPr="0071724A">
        <w:rPr>
          <w:color w:val="002060"/>
          <w:sz w:val="24"/>
        </w:rPr>
        <w:t>Le eventuali risorse revocate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ai Comuni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che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non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abbiano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rispettato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il termine del 31 dicembre 2023 di cui al comma 4, e non hanno conseguito il traguardo intermedio entro il 31 dicembre 2024 di cui al comma 5</w:t>
      </w:r>
      <w:r w:rsidR="00821350" w:rsidRPr="0071724A">
        <w:rPr>
          <w:color w:val="002060"/>
          <w:sz w:val="24"/>
        </w:rPr>
        <w:t>,</w:t>
      </w:r>
      <w:r w:rsidRPr="0071724A">
        <w:rPr>
          <w:color w:val="002060"/>
          <w:sz w:val="24"/>
        </w:rPr>
        <w:t xml:space="preserve"> possono essere riassegnate ai Comuni che abbiano rispettato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tale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termine, tenendo conto delle percentuali di riparto di cui all’Allegato 1, garantendo comunque il raggiungimento dei traguardi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e degli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obiettivi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dell’investimento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nei termini stabiliti dal PNRR, ed in particolare quanto previsto dal comma 6.</w:t>
      </w:r>
    </w:p>
    <w:p w:rsidR="0014352A" w:rsidRPr="0071724A" w:rsidRDefault="00A61F9F" w:rsidP="00BB588A">
      <w:pPr>
        <w:pStyle w:val="Paragrafoelenco"/>
        <w:numPr>
          <w:ilvl w:val="0"/>
          <w:numId w:val="13"/>
        </w:numPr>
        <w:tabs>
          <w:tab w:val="left" w:pos="426"/>
        </w:tabs>
        <w:spacing w:line="360" w:lineRule="auto"/>
        <w:ind w:left="426" w:right="130" w:hanging="426"/>
        <w:rPr>
          <w:color w:val="002060"/>
          <w:sz w:val="24"/>
        </w:rPr>
      </w:pPr>
      <w:r w:rsidRPr="0071724A">
        <w:rPr>
          <w:color w:val="002060"/>
          <w:sz w:val="24"/>
        </w:rPr>
        <w:t>Resta fermo l’esercizio dei poteri sostitutivi di cui all’articolo 12 del decreto-legge 31 maggio 2021, n. 77.</w:t>
      </w:r>
    </w:p>
    <w:p w:rsidR="0014352A" w:rsidRPr="0071724A" w:rsidRDefault="00A61F9F" w:rsidP="00BB588A">
      <w:pPr>
        <w:pStyle w:val="Paragrafoelenco"/>
        <w:numPr>
          <w:ilvl w:val="0"/>
          <w:numId w:val="13"/>
        </w:numPr>
        <w:tabs>
          <w:tab w:val="left" w:pos="426"/>
        </w:tabs>
        <w:spacing w:line="360" w:lineRule="auto"/>
        <w:ind w:left="426" w:right="130" w:hanging="426"/>
        <w:rPr>
          <w:color w:val="002060"/>
          <w:sz w:val="24"/>
        </w:rPr>
      </w:pPr>
      <w:r w:rsidRPr="0071724A">
        <w:rPr>
          <w:color w:val="002060"/>
          <w:sz w:val="24"/>
        </w:rPr>
        <w:t>Le condizioni di cui ai commi 5, 6 e 7 sono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verificate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attraverso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il monitoraggio di cui all’articolo 11.</w:t>
      </w:r>
    </w:p>
    <w:p w:rsidR="0014352A" w:rsidRPr="0071724A" w:rsidRDefault="0014352A" w:rsidP="00C91D74">
      <w:pPr>
        <w:pStyle w:val="Corpotesto"/>
        <w:spacing w:before="9"/>
        <w:ind w:left="0"/>
        <w:jc w:val="left"/>
        <w:rPr>
          <w:color w:val="002060"/>
          <w:sz w:val="34"/>
        </w:rPr>
      </w:pPr>
    </w:p>
    <w:p w:rsidR="0014352A" w:rsidRPr="0071724A" w:rsidRDefault="00A61F9F" w:rsidP="00C91D74">
      <w:pPr>
        <w:ind w:left="2948" w:right="2977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Articolo 4</w:t>
      </w:r>
    </w:p>
    <w:p w:rsidR="0014352A" w:rsidRPr="0071724A" w:rsidRDefault="00A61F9F" w:rsidP="00C91D74">
      <w:pPr>
        <w:ind w:left="1973" w:right="1920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(Tipologia di materiale rotabile ed attrezzaggi)</w:t>
      </w:r>
    </w:p>
    <w:p w:rsidR="0014352A" w:rsidRPr="0071724A" w:rsidRDefault="0014352A" w:rsidP="00C91D74">
      <w:pPr>
        <w:pStyle w:val="Corpotesto"/>
        <w:ind w:left="0"/>
        <w:jc w:val="left"/>
        <w:rPr>
          <w:b/>
          <w:color w:val="002060"/>
        </w:rPr>
      </w:pPr>
    </w:p>
    <w:p w:rsidR="0014352A" w:rsidRPr="0071724A" w:rsidRDefault="00A61F9F" w:rsidP="00BB588A">
      <w:pPr>
        <w:pStyle w:val="Paragrafoelenco"/>
        <w:numPr>
          <w:ilvl w:val="0"/>
          <w:numId w:val="14"/>
        </w:numPr>
        <w:tabs>
          <w:tab w:val="left" w:pos="426"/>
        </w:tabs>
        <w:spacing w:line="360" w:lineRule="auto"/>
        <w:ind w:left="426" w:right="130" w:hanging="426"/>
        <w:rPr>
          <w:color w:val="002060"/>
          <w:sz w:val="24"/>
        </w:rPr>
      </w:pPr>
      <w:r w:rsidRPr="0071724A">
        <w:rPr>
          <w:color w:val="002060"/>
          <w:sz w:val="24"/>
        </w:rPr>
        <w:t>Il materiale rotabile da acquistare con le risorse di cui all’articolo 1, deve appartenere alle categorie e alle tipologie idonee all’utilizzo per lo specifico servizio cui è destinato e soddisfare i requisiti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in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merito alle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caratteristiche ed agli equipaggiamenti essenziali riportati al comma 2</w:t>
      </w:r>
      <w:r w:rsidR="00821350" w:rsidRPr="0071724A">
        <w:rPr>
          <w:color w:val="002060"/>
          <w:sz w:val="24"/>
        </w:rPr>
        <w:t>.</w:t>
      </w:r>
    </w:p>
    <w:p w:rsidR="0014352A" w:rsidRPr="0071724A" w:rsidRDefault="00A61F9F" w:rsidP="00BB588A">
      <w:pPr>
        <w:pStyle w:val="Paragrafoelenco"/>
        <w:numPr>
          <w:ilvl w:val="0"/>
          <w:numId w:val="14"/>
        </w:numPr>
        <w:tabs>
          <w:tab w:val="left" w:pos="426"/>
        </w:tabs>
        <w:spacing w:line="360" w:lineRule="auto"/>
        <w:ind w:left="426" w:right="130" w:hanging="426"/>
        <w:rPr>
          <w:color w:val="002060"/>
          <w:sz w:val="24"/>
        </w:rPr>
      </w:pPr>
      <w:r w:rsidRPr="0071724A">
        <w:rPr>
          <w:color w:val="002060"/>
          <w:sz w:val="24"/>
        </w:rPr>
        <w:t>Gli autobus da acquistare devono essere obbligatoriamente corredati da:</w:t>
      </w:r>
    </w:p>
    <w:p w:rsidR="0014352A" w:rsidRPr="0071724A" w:rsidRDefault="00A61F9F" w:rsidP="00BB588A">
      <w:pPr>
        <w:pStyle w:val="Corpotesto"/>
        <w:numPr>
          <w:ilvl w:val="0"/>
          <w:numId w:val="11"/>
        </w:numPr>
        <w:spacing w:before="124" w:line="333" w:lineRule="auto"/>
        <w:ind w:left="709" w:right="142" w:hanging="425"/>
        <w:rPr>
          <w:color w:val="002060"/>
        </w:rPr>
      </w:pPr>
      <w:r w:rsidRPr="0071724A">
        <w:rPr>
          <w:color w:val="002060"/>
        </w:rPr>
        <w:t>idonee attrezzature per l’accesso ed il trasporto di persone a mobilità ridotta;</w:t>
      </w:r>
    </w:p>
    <w:p w:rsidR="0014352A" w:rsidRPr="0071724A" w:rsidRDefault="00A61F9F" w:rsidP="00BB588A">
      <w:pPr>
        <w:pStyle w:val="Corpotesto"/>
        <w:numPr>
          <w:ilvl w:val="0"/>
          <w:numId w:val="11"/>
        </w:numPr>
        <w:spacing w:before="124" w:line="333" w:lineRule="auto"/>
        <w:ind w:left="709" w:right="142" w:hanging="425"/>
        <w:rPr>
          <w:color w:val="002060"/>
        </w:rPr>
      </w:pPr>
      <w:r w:rsidRPr="0071724A">
        <w:rPr>
          <w:color w:val="002060"/>
        </w:rPr>
        <w:t>conta-passeggeri attivo indipendentemente dalla eventuale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rilevazione con la validazione elettronica dei titoli di viaggio;</w:t>
      </w:r>
    </w:p>
    <w:p w:rsidR="0014352A" w:rsidRPr="0071724A" w:rsidRDefault="00A61F9F" w:rsidP="00BB588A">
      <w:pPr>
        <w:pStyle w:val="Corpotesto"/>
        <w:numPr>
          <w:ilvl w:val="0"/>
          <w:numId w:val="11"/>
        </w:numPr>
        <w:spacing w:before="124" w:line="333" w:lineRule="auto"/>
        <w:ind w:left="709" w:right="142" w:hanging="425"/>
        <w:rPr>
          <w:color w:val="002060"/>
        </w:rPr>
      </w:pPr>
      <w:r w:rsidRPr="0071724A">
        <w:rPr>
          <w:color w:val="002060"/>
        </w:rPr>
        <w:t>dispositivi per la localizzazione;</w:t>
      </w:r>
    </w:p>
    <w:p w:rsidR="0014352A" w:rsidRPr="0071724A" w:rsidRDefault="00A61F9F" w:rsidP="00BB588A">
      <w:pPr>
        <w:pStyle w:val="Corpotesto"/>
        <w:numPr>
          <w:ilvl w:val="0"/>
          <w:numId w:val="11"/>
        </w:numPr>
        <w:spacing w:before="124" w:line="333" w:lineRule="auto"/>
        <w:ind w:left="709" w:right="142" w:hanging="425"/>
        <w:rPr>
          <w:color w:val="002060"/>
        </w:rPr>
      </w:pPr>
      <w:r w:rsidRPr="0071724A">
        <w:rPr>
          <w:color w:val="002060"/>
        </w:rPr>
        <w:t>predisposizione per la validazione elettronica;</w:t>
      </w:r>
    </w:p>
    <w:p w:rsidR="0014352A" w:rsidRPr="0071724A" w:rsidRDefault="00A61F9F" w:rsidP="00BB588A">
      <w:pPr>
        <w:pStyle w:val="Corpotesto"/>
        <w:numPr>
          <w:ilvl w:val="0"/>
          <w:numId w:val="11"/>
        </w:numPr>
        <w:spacing w:before="124" w:line="333" w:lineRule="auto"/>
        <w:ind w:left="709" w:right="142" w:hanging="425"/>
        <w:rPr>
          <w:color w:val="002060"/>
        </w:rPr>
      </w:pPr>
      <w:r w:rsidRPr="0071724A">
        <w:rPr>
          <w:color w:val="002060"/>
        </w:rPr>
        <w:t xml:space="preserve">videosorveglianza e dispositivi di protezione del conducente secondo le modalità previste </w:t>
      </w:r>
      <w:r w:rsidRPr="0071724A">
        <w:rPr>
          <w:color w:val="002060"/>
        </w:rPr>
        <w:lastRenderedPageBreak/>
        <w:t>dalla Regione o dalla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Provincia autonoma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in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cui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si trova il comune beneficiario;</w:t>
      </w:r>
    </w:p>
    <w:p w:rsidR="0014352A" w:rsidRPr="0071724A" w:rsidRDefault="00A61F9F" w:rsidP="00BB588A">
      <w:pPr>
        <w:pStyle w:val="Corpotesto"/>
        <w:numPr>
          <w:ilvl w:val="0"/>
          <w:numId w:val="11"/>
        </w:numPr>
        <w:spacing w:before="124" w:line="333" w:lineRule="auto"/>
        <w:ind w:left="709" w:right="142" w:hanging="425"/>
        <w:rPr>
          <w:color w:val="002060"/>
        </w:rPr>
      </w:pPr>
      <w:r w:rsidRPr="0071724A">
        <w:rPr>
          <w:color w:val="002060"/>
        </w:rPr>
        <w:t>Sistemi di areazione e climatizzazione dei veicoli;</w:t>
      </w:r>
    </w:p>
    <w:p w:rsidR="0014352A" w:rsidRPr="0071724A" w:rsidRDefault="00A61F9F" w:rsidP="00BB588A">
      <w:pPr>
        <w:pStyle w:val="Paragrafoelenco"/>
        <w:numPr>
          <w:ilvl w:val="0"/>
          <w:numId w:val="14"/>
        </w:numPr>
        <w:tabs>
          <w:tab w:val="left" w:pos="426"/>
        </w:tabs>
        <w:spacing w:line="360" w:lineRule="auto"/>
        <w:ind w:left="426" w:right="130" w:hanging="426"/>
        <w:rPr>
          <w:color w:val="002060"/>
          <w:sz w:val="24"/>
        </w:rPr>
      </w:pPr>
      <w:r w:rsidRPr="0071724A">
        <w:rPr>
          <w:color w:val="002060"/>
          <w:sz w:val="24"/>
        </w:rPr>
        <w:t>Eventuali ulteriori attrezzaggi, ivi comprese le strutture porta biciclette o quanto altro sia necessario a garantire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la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piena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integrazione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sulla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filiera della mobilità, siano altri dispositivi di mobilità attiva o dispositivi ITS, possono essere ammessi al finanziamento nella misura mas sima del 5% del</w:t>
      </w:r>
      <w:r w:rsidR="002004BB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costo complessivo del veicolo, in relazione alle specifiche esigenze dei soggetti beneficiari.</w:t>
      </w:r>
    </w:p>
    <w:p w:rsidR="0014352A" w:rsidRPr="0071724A" w:rsidRDefault="0014352A" w:rsidP="00C91D74">
      <w:pPr>
        <w:pStyle w:val="Corpotesto"/>
        <w:ind w:left="0"/>
        <w:jc w:val="left"/>
        <w:rPr>
          <w:color w:val="002060"/>
          <w:sz w:val="26"/>
        </w:rPr>
      </w:pPr>
    </w:p>
    <w:p w:rsidR="0014352A" w:rsidRPr="0071724A" w:rsidRDefault="00A61F9F" w:rsidP="00C91D74">
      <w:pPr>
        <w:spacing w:before="212"/>
        <w:ind w:left="2948" w:right="2977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Articolo 5</w:t>
      </w:r>
    </w:p>
    <w:p w:rsidR="0014352A" w:rsidRPr="0071724A" w:rsidRDefault="00A61F9F" w:rsidP="00C91D74">
      <w:pPr>
        <w:ind w:left="1967" w:right="2000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(Infrastrutture di supporto)</w:t>
      </w:r>
    </w:p>
    <w:p w:rsidR="0014352A" w:rsidRPr="0071724A" w:rsidRDefault="0014352A" w:rsidP="00C91D74">
      <w:pPr>
        <w:pStyle w:val="Corpotesto"/>
        <w:ind w:left="0"/>
        <w:jc w:val="left"/>
        <w:rPr>
          <w:b/>
          <w:color w:val="002060"/>
        </w:rPr>
      </w:pPr>
    </w:p>
    <w:p w:rsidR="0014352A" w:rsidRPr="0071724A" w:rsidRDefault="00A61F9F" w:rsidP="00BB588A">
      <w:pPr>
        <w:pStyle w:val="Paragrafoelenco"/>
        <w:numPr>
          <w:ilvl w:val="0"/>
          <w:numId w:val="5"/>
        </w:numPr>
        <w:tabs>
          <w:tab w:val="left" w:pos="426"/>
        </w:tabs>
        <w:spacing w:line="360" w:lineRule="auto"/>
        <w:ind w:left="426" w:right="136" w:hanging="426"/>
        <w:rPr>
          <w:color w:val="002060"/>
          <w:sz w:val="24"/>
        </w:rPr>
      </w:pPr>
      <w:r w:rsidRPr="0071724A">
        <w:rPr>
          <w:color w:val="002060"/>
          <w:sz w:val="24"/>
        </w:rPr>
        <w:t>Fermo restando il conseguimento degli obiettivi obbligatori relativi all’acquisto della quantità minima di autobus per ciascun Comune, secondo le tempistiche indicate nell’Allegato 1 al presente Decreto, una quota delle risorse di cui all’articolo 1 può essere destinata alla realizzazione delle infrastrutture di supporto per l’alimentazione dei veicoli.</w:t>
      </w:r>
    </w:p>
    <w:p w:rsidR="0014352A" w:rsidRPr="0071724A" w:rsidRDefault="00A61F9F" w:rsidP="00BB588A">
      <w:pPr>
        <w:pStyle w:val="Paragrafoelenco"/>
        <w:numPr>
          <w:ilvl w:val="0"/>
          <w:numId w:val="5"/>
        </w:numPr>
        <w:tabs>
          <w:tab w:val="left" w:pos="426"/>
        </w:tabs>
        <w:spacing w:line="360" w:lineRule="auto"/>
        <w:ind w:left="426" w:right="136" w:hanging="426"/>
        <w:rPr>
          <w:color w:val="002060"/>
          <w:sz w:val="24"/>
        </w:rPr>
      </w:pPr>
      <w:r w:rsidRPr="0071724A">
        <w:rPr>
          <w:color w:val="002060"/>
          <w:sz w:val="24"/>
        </w:rPr>
        <w:t>Sono ammesse al finanziamento di cui al comma 1 le opere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strettamente connesse alla realizzazione dell’infrastruttura di supporto necessaria alla gestione delle tipologie di autobus ad alimentazione elettrica o ad idrogeno oggetto di contribuzione con il presente decreto. In particolare, sono riconosciute le spese per la predisposizione degli allacciamenti alla rete di erogazione della fonte di alimentazione</w:t>
      </w:r>
      <w:r w:rsidR="00821350" w:rsidRPr="0071724A">
        <w:rPr>
          <w:color w:val="002060"/>
          <w:sz w:val="24"/>
        </w:rPr>
        <w:t>,</w:t>
      </w:r>
      <w:r w:rsidRPr="0071724A">
        <w:rPr>
          <w:color w:val="002060"/>
          <w:sz w:val="24"/>
        </w:rPr>
        <w:t xml:space="preserve"> dei luoghi di ricarica e dei relativi apparati, dei siti e dei relativi dispositivi di stoccaggio e, se necessario, le opere di adeguamento dei depositi.</w:t>
      </w:r>
    </w:p>
    <w:p w:rsidR="0014352A" w:rsidRPr="0071724A" w:rsidRDefault="00A61F9F" w:rsidP="00BB588A">
      <w:pPr>
        <w:pStyle w:val="Paragrafoelenco"/>
        <w:numPr>
          <w:ilvl w:val="0"/>
          <w:numId w:val="5"/>
        </w:numPr>
        <w:tabs>
          <w:tab w:val="left" w:pos="426"/>
        </w:tabs>
        <w:spacing w:line="360" w:lineRule="auto"/>
        <w:ind w:left="426" w:right="136" w:hanging="426"/>
        <w:rPr>
          <w:color w:val="002060"/>
          <w:sz w:val="24"/>
        </w:rPr>
      </w:pPr>
      <w:r w:rsidRPr="0071724A">
        <w:rPr>
          <w:color w:val="002060"/>
          <w:sz w:val="24"/>
        </w:rPr>
        <w:t>Le spese tecniche per la progettazione, direzione lavori, coordinamento della sicurezza e collaudo sono ammesse,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previa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certificazione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comunale,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 xml:space="preserve">nel limite massimo fissato dal D.M. Giustizia del 17 giugno 2016 “ </w:t>
      </w:r>
      <w:r w:rsidRPr="0071724A">
        <w:rPr>
          <w:i/>
          <w:color w:val="002060"/>
          <w:sz w:val="24"/>
        </w:rPr>
        <w:t xml:space="preserve">approvazione delle tabelle dei corrispettivi commisurati al livello qualitativo delle prestazioni di progettazione adottato ai sensi dell' </w:t>
      </w:r>
      <w:hyperlink r:id="rId9" w:anchor="024">
        <w:r w:rsidRPr="0071724A">
          <w:rPr>
            <w:i/>
            <w:color w:val="002060"/>
            <w:sz w:val="24"/>
          </w:rPr>
          <w:t>art. 24, comma 8,</w:t>
        </w:r>
        <w:r w:rsidR="00E64939" w:rsidRPr="0071724A">
          <w:rPr>
            <w:i/>
            <w:color w:val="002060"/>
            <w:sz w:val="24"/>
          </w:rPr>
          <w:t xml:space="preserve"> </w:t>
        </w:r>
        <w:r w:rsidRPr="0071724A">
          <w:rPr>
            <w:i/>
            <w:color w:val="002060"/>
            <w:sz w:val="24"/>
          </w:rPr>
          <w:t>del</w:t>
        </w:r>
      </w:hyperlink>
      <w:r w:rsidRPr="0071724A">
        <w:rPr>
          <w:i/>
          <w:color w:val="002060"/>
          <w:sz w:val="24"/>
        </w:rPr>
        <w:t xml:space="preserve"> </w:t>
      </w:r>
      <w:hyperlink r:id="rId10" w:anchor="024">
        <w:r w:rsidRPr="0071724A">
          <w:rPr>
            <w:i/>
            <w:color w:val="002060"/>
            <w:sz w:val="24"/>
          </w:rPr>
          <w:t xml:space="preserve">decreto legislativo n. 50 del 2016 </w:t>
        </w:r>
      </w:hyperlink>
      <w:r w:rsidRPr="0071724A">
        <w:rPr>
          <w:color w:val="002060"/>
          <w:sz w:val="24"/>
        </w:rPr>
        <w:t>”.</w:t>
      </w:r>
    </w:p>
    <w:p w:rsidR="0014352A" w:rsidRPr="0071724A" w:rsidRDefault="0014352A" w:rsidP="00C91D74">
      <w:pPr>
        <w:pStyle w:val="Corpotesto"/>
        <w:ind w:left="0"/>
        <w:jc w:val="left"/>
        <w:rPr>
          <w:color w:val="002060"/>
          <w:sz w:val="26"/>
        </w:rPr>
      </w:pPr>
    </w:p>
    <w:p w:rsidR="0014352A" w:rsidRPr="0071724A" w:rsidRDefault="0014352A" w:rsidP="00C91D74">
      <w:pPr>
        <w:pStyle w:val="Corpotesto"/>
        <w:spacing w:before="4"/>
        <w:ind w:left="0"/>
        <w:jc w:val="left"/>
        <w:rPr>
          <w:color w:val="002060"/>
          <w:sz w:val="22"/>
        </w:rPr>
      </w:pPr>
    </w:p>
    <w:p w:rsidR="0014352A" w:rsidRPr="0071724A" w:rsidRDefault="00A61F9F" w:rsidP="00C91D74">
      <w:pPr>
        <w:ind w:left="2948" w:right="2977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Articolo 6</w:t>
      </w:r>
    </w:p>
    <w:p w:rsidR="0014352A" w:rsidRPr="0071724A" w:rsidRDefault="00A61F9F" w:rsidP="00C91D74">
      <w:pPr>
        <w:spacing w:before="1"/>
        <w:ind w:left="1973" w:right="2000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(Modalità di accesso ed erogazione delle risorse)</w:t>
      </w:r>
    </w:p>
    <w:p w:rsidR="0014352A" w:rsidRPr="0071724A" w:rsidRDefault="0014352A" w:rsidP="00C91D74">
      <w:pPr>
        <w:pStyle w:val="Corpotesto"/>
        <w:ind w:left="0"/>
        <w:jc w:val="left"/>
        <w:rPr>
          <w:b/>
          <w:color w:val="002060"/>
        </w:rPr>
      </w:pPr>
    </w:p>
    <w:p w:rsidR="0014352A" w:rsidRPr="0071724A" w:rsidRDefault="00A61F9F" w:rsidP="00BB588A">
      <w:pPr>
        <w:pStyle w:val="Paragrafoelenco"/>
        <w:numPr>
          <w:ilvl w:val="0"/>
          <w:numId w:val="15"/>
        </w:numPr>
        <w:tabs>
          <w:tab w:val="left" w:pos="426"/>
        </w:tabs>
        <w:spacing w:line="360" w:lineRule="auto"/>
        <w:ind w:left="426" w:right="136" w:hanging="426"/>
        <w:rPr>
          <w:color w:val="002060"/>
          <w:sz w:val="24"/>
        </w:rPr>
      </w:pPr>
      <w:r w:rsidRPr="0071724A">
        <w:rPr>
          <w:color w:val="002060"/>
          <w:sz w:val="24"/>
        </w:rPr>
        <w:t>Per accedere alle risorse di cui all’articolo 1, i Comuni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individuati nell’Allegato 1 al presente Decreto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inviano al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MIMS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– Direzione generale per il trasporto pubblico locale e regionale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e la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mobilità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pubblica sostenibile, entro il termine perentorio di 20 giorni dalla comunicazione da parte del medesimo Ministero dell’avvenuta registrazione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presente Decreto da parte degli organi di controllo, - apposita istanza manifestando</w:t>
      </w:r>
      <w:r w:rsidR="002004BB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l’interesse ad accedere al finanziamento</w:t>
      </w:r>
      <w:r w:rsidR="00821350" w:rsidRPr="0071724A">
        <w:rPr>
          <w:color w:val="002060"/>
          <w:sz w:val="24"/>
        </w:rPr>
        <w:t>,</w:t>
      </w:r>
      <w:r w:rsidRPr="0071724A">
        <w:rPr>
          <w:color w:val="002060"/>
          <w:sz w:val="24"/>
        </w:rPr>
        <w:t xml:space="preserve"> ai fini del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decreto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cui all’articolo 1, comma 5.</w:t>
      </w:r>
    </w:p>
    <w:p w:rsidR="0014352A" w:rsidRPr="0071724A" w:rsidRDefault="00A61F9F" w:rsidP="00BB588A">
      <w:pPr>
        <w:pStyle w:val="Paragrafoelenco"/>
        <w:numPr>
          <w:ilvl w:val="0"/>
          <w:numId w:val="15"/>
        </w:numPr>
        <w:tabs>
          <w:tab w:val="left" w:pos="426"/>
        </w:tabs>
        <w:spacing w:line="360" w:lineRule="auto"/>
        <w:ind w:left="426" w:right="136" w:hanging="426"/>
        <w:rPr>
          <w:color w:val="002060"/>
          <w:sz w:val="24"/>
        </w:rPr>
      </w:pPr>
      <w:r w:rsidRPr="0071724A">
        <w:rPr>
          <w:color w:val="002060"/>
          <w:sz w:val="24"/>
        </w:rPr>
        <w:lastRenderedPageBreak/>
        <w:t>Nell’istanza deve essere indicato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l’importo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finanziamento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richiesto fermo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restando il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limite massimo dell’assegnazione per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ciascun Comune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 cui all’ Allegato 1 del presente Decreto, ed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 CUP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delle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forniture</w:t>
      </w:r>
      <w:r w:rsidR="00821350" w:rsidRPr="0071724A">
        <w:rPr>
          <w:color w:val="002060"/>
          <w:sz w:val="24"/>
        </w:rPr>
        <w:t>.</w:t>
      </w:r>
      <w:r w:rsidRPr="0071724A">
        <w:rPr>
          <w:color w:val="002060"/>
          <w:sz w:val="24"/>
        </w:rPr>
        <w:t xml:space="preserve"> Nell’istanza potrà anche essere indicato l’ulteriore fabbisogno del Comune cui far fronte con l’eventuale riprogrammazione delle risorse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cui all’articolo 3, comma 8, fermi restando i traguardi,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gli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obiettivi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e la tempistica fissati dal PNRR e di cui al mede simo articolo 3.</w:t>
      </w:r>
    </w:p>
    <w:p w:rsidR="0014352A" w:rsidRPr="0071724A" w:rsidRDefault="00A61F9F" w:rsidP="00BB588A">
      <w:pPr>
        <w:pStyle w:val="Paragrafoelenco"/>
        <w:numPr>
          <w:ilvl w:val="0"/>
          <w:numId w:val="15"/>
        </w:numPr>
        <w:tabs>
          <w:tab w:val="left" w:pos="426"/>
        </w:tabs>
        <w:spacing w:line="360" w:lineRule="auto"/>
        <w:ind w:left="426" w:right="136" w:hanging="426"/>
        <w:rPr>
          <w:color w:val="002060"/>
          <w:sz w:val="24"/>
        </w:rPr>
      </w:pPr>
      <w:r w:rsidRPr="0071724A">
        <w:rPr>
          <w:color w:val="002060"/>
          <w:sz w:val="24"/>
        </w:rPr>
        <w:t>All’istanza di cui al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comma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1 deve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essere allegato un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 xml:space="preserve">apposito Programma che dia evidenza della complessiva strategia di investimento del Comune nell’ambito delle iniziative finalizzate al rinnovo delle flotte dei mezzi con alimentazione alternativa, richiamando e </w:t>
      </w:r>
      <w:r w:rsidR="002004BB" w:rsidRPr="0071724A">
        <w:rPr>
          <w:color w:val="002060"/>
          <w:sz w:val="24"/>
        </w:rPr>
        <w:t>esplicitamente</w:t>
      </w:r>
      <w:r w:rsidRPr="0071724A">
        <w:rPr>
          <w:color w:val="002060"/>
          <w:sz w:val="24"/>
        </w:rPr>
        <w:t xml:space="preserve"> gli impatti in termini di sostituzione dei mezzi più vetusti per effetto dei finanziamenti di cui al presente decreto.</w:t>
      </w:r>
    </w:p>
    <w:p w:rsidR="0014352A" w:rsidRPr="0071724A" w:rsidRDefault="00A61F9F" w:rsidP="00BB588A">
      <w:pPr>
        <w:pStyle w:val="Paragrafoelenco"/>
        <w:numPr>
          <w:ilvl w:val="0"/>
          <w:numId w:val="15"/>
        </w:numPr>
        <w:tabs>
          <w:tab w:val="left" w:pos="426"/>
        </w:tabs>
        <w:spacing w:line="360" w:lineRule="auto"/>
        <w:ind w:left="426" w:right="136" w:hanging="426"/>
        <w:rPr>
          <w:color w:val="002060"/>
          <w:sz w:val="24"/>
        </w:rPr>
      </w:pPr>
      <w:r w:rsidRPr="0071724A">
        <w:rPr>
          <w:color w:val="002060"/>
          <w:sz w:val="24"/>
        </w:rPr>
        <w:t>Nel caso di Comuni già beneficiari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finanziamenti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destinati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al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rinnovo delle flotte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materiale rotabile su gomma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destinato al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TPL,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Programma di cui al comma precedente dovrà evidenziare la coerenza con le altre misure finanziate, in particolare, per gli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enti interessati,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finanziamenti previsti dal Piano Strategico Nazionale per la mobilità sostenibile indicando i mezzi acquistati e quelli relativi alle forniture in corso o di prossima attivazione, distinti per tipologia ed alimentazione.</w:t>
      </w:r>
    </w:p>
    <w:p w:rsidR="0014352A" w:rsidRPr="0071724A" w:rsidRDefault="00A61F9F" w:rsidP="00BB588A">
      <w:pPr>
        <w:pStyle w:val="Paragrafoelenco"/>
        <w:numPr>
          <w:ilvl w:val="0"/>
          <w:numId w:val="15"/>
        </w:numPr>
        <w:tabs>
          <w:tab w:val="left" w:pos="426"/>
        </w:tabs>
        <w:spacing w:line="360" w:lineRule="auto"/>
        <w:ind w:left="426" w:right="136" w:hanging="426"/>
        <w:rPr>
          <w:color w:val="002060"/>
          <w:sz w:val="24"/>
        </w:rPr>
      </w:pPr>
      <w:r w:rsidRPr="0071724A">
        <w:rPr>
          <w:color w:val="002060"/>
          <w:sz w:val="24"/>
        </w:rPr>
        <w:t>La mancata presentazione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della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manifestazione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interesse entro il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termine di cui al comma 1</w:t>
      </w:r>
      <w:r w:rsidR="00821350" w:rsidRPr="0071724A">
        <w:rPr>
          <w:color w:val="002060"/>
          <w:sz w:val="24"/>
        </w:rPr>
        <w:t>,</w:t>
      </w:r>
      <w:r w:rsidRPr="0071724A">
        <w:rPr>
          <w:color w:val="002060"/>
          <w:sz w:val="24"/>
        </w:rPr>
        <w:t xml:space="preserve"> o priva dei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contenuti</w:t>
      </w:r>
      <w:r w:rsidR="00E64939" w:rsidRPr="0071724A">
        <w:rPr>
          <w:color w:val="002060"/>
          <w:sz w:val="24"/>
        </w:rPr>
        <w:t xml:space="preserve"> </w:t>
      </w:r>
      <w:r w:rsidR="002004BB" w:rsidRPr="0071724A">
        <w:rPr>
          <w:color w:val="002060"/>
          <w:sz w:val="24"/>
        </w:rPr>
        <w:t>sopradescritti</w:t>
      </w:r>
      <w:r w:rsidRPr="0071724A">
        <w:rPr>
          <w:color w:val="002060"/>
          <w:sz w:val="24"/>
        </w:rPr>
        <w:t>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comporta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la decadenza dal finanziamento.</w:t>
      </w:r>
    </w:p>
    <w:p w:rsidR="0014352A" w:rsidRPr="0071724A" w:rsidRDefault="00A61F9F" w:rsidP="00BB588A">
      <w:pPr>
        <w:pStyle w:val="Paragrafoelenco"/>
        <w:numPr>
          <w:ilvl w:val="0"/>
          <w:numId w:val="15"/>
        </w:numPr>
        <w:tabs>
          <w:tab w:val="left" w:pos="426"/>
        </w:tabs>
        <w:spacing w:line="360" w:lineRule="auto"/>
        <w:ind w:left="426" w:right="136" w:hanging="426"/>
        <w:rPr>
          <w:color w:val="002060"/>
          <w:sz w:val="24"/>
        </w:rPr>
      </w:pPr>
      <w:r w:rsidRPr="0071724A">
        <w:rPr>
          <w:color w:val="002060"/>
          <w:sz w:val="24"/>
        </w:rPr>
        <w:t>Le eventuali risorse resesi disponibili a seguito della mancata presentazione della manifestazione di interesse nei termini e contenuti 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cui al comma 1 o per importi inferiori a quanto riportato nell’Allegato 1, sono riassegnate con successivo provvedimento a favore degli altri Comuni, al fine di garantire il raggiungimento degli obiettivi minimi fissati dal PNRR.</w:t>
      </w:r>
    </w:p>
    <w:p w:rsidR="0014352A" w:rsidRPr="0071724A" w:rsidRDefault="00A61F9F" w:rsidP="00BB588A">
      <w:pPr>
        <w:pStyle w:val="Paragrafoelenco"/>
        <w:numPr>
          <w:ilvl w:val="0"/>
          <w:numId w:val="15"/>
        </w:numPr>
        <w:tabs>
          <w:tab w:val="left" w:pos="426"/>
        </w:tabs>
        <w:spacing w:line="360" w:lineRule="auto"/>
        <w:ind w:left="426" w:right="136" w:hanging="426"/>
        <w:rPr>
          <w:color w:val="002060"/>
          <w:sz w:val="24"/>
        </w:rPr>
      </w:pPr>
      <w:r w:rsidRPr="0071724A">
        <w:rPr>
          <w:color w:val="002060"/>
          <w:sz w:val="24"/>
        </w:rPr>
        <w:t>Le risorse sono erogate, a titolo 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anticipazione,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pagamenti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intermedi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 xml:space="preserve">e saldo, a seguito di istanza da parte dei Comuni, inoltrata al Ministero delle infrastrutture e della mobilità </w:t>
      </w:r>
      <w:r w:rsidR="002004BB" w:rsidRPr="0071724A">
        <w:rPr>
          <w:color w:val="002060"/>
          <w:sz w:val="24"/>
        </w:rPr>
        <w:t>sostenibile,</w:t>
      </w:r>
      <w:r w:rsidRPr="0071724A">
        <w:rPr>
          <w:color w:val="002060"/>
          <w:sz w:val="24"/>
        </w:rPr>
        <w:t xml:space="preserve"> secondo le modalità definite nei</w:t>
      </w:r>
      <w:r w:rsidR="004359E8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provvedimenti</w:t>
      </w:r>
      <w:r w:rsidR="004359E8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nazionali</w:t>
      </w:r>
      <w:r w:rsidR="004359E8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attuativi</w:t>
      </w:r>
      <w:r w:rsidR="004359E8" w:rsidRPr="0071724A">
        <w:rPr>
          <w:color w:val="002060"/>
          <w:sz w:val="24"/>
        </w:rPr>
        <w:t xml:space="preserve"> d</w:t>
      </w:r>
      <w:r w:rsidRPr="0071724A">
        <w:rPr>
          <w:color w:val="002060"/>
          <w:sz w:val="24"/>
        </w:rPr>
        <w:t>el</w:t>
      </w:r>
      <w:r w:rsidR="004359E8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Piano</w:t>
      </w:r>
      <w:r w:rsidRPr="0071724A">
        <w:rPr>
          <w:color w:val="002060"/>
          <w:sz w:val="24"/>
        </w:rPr>
        <w:tab/>
        <w:t>Nazionale</w:t>
      </w:r>
      <w:r w:rsidR="004359E8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</w:t>
      </w:r>
      <w:r w:rsidR="004359E8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Ripresa</w:t>
      </w:r>
      <w:r w:rsidR="004359E8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e Resilienza.</w:t>
      </w:r>
    </w:p>
    <w:p w:rsidR="0014352A" w:rsidRPr="0071724A" w:rsidRDefault="00A61F9F" w:rsidP="00BB588A">
      <w:pPr>
        <w:pStyle w:val="Paragrafoelenco"/>
        <w:numPr>
          <w:ilvl w:val="0"/>
          <w:numId w:val="15"/>
        </w:numPr>
        <w:tabs>
          <w:tab w:val="left" w:pos="426"/>
        </w:tabs>
        <w:spacing w:line="360" w:lineRule="auto"/>
        <w:ind w:left="426" w:right="136" w:hanging="426"/>
        <w:rPr>
          <w:color w:val="002060"/>
          <w:sz w:val="24"/>
        </w:rPr>
      </w:pPr>
      <w:r w:rsidRPr="0071724A">
        <w:rPr>
          <w:color w:val="002060"/>
          <w:sz w:val="24"/>
        </w:rPr>
        <w:t>L’erogazione di risorse con le modalità d i cui al comma 1 non può superare l’ammontare delle risorse disponibili nell’anno al momento delle erogazioni.</w:t>
      </w:r>
    </w:p>
    <w:p w:rsidR="0014352A" w:rsidRPr="0071724A" w:rsidRDefault="0014352A" w:rsidP="00C91D74">
      <w:pPr>
        <w:pStyle w:val="Corpotesto"/>
        <w:ind w:left="0"/>
        <w:jc w:val="left"/>
        <w:rPr>
          <w:color w:val="002060"/>
          <w:sz w:val="26"/>
        </w:rPr>
      </w:pPr>
    </w:p>
    <w:p w:rsidR="0014352A" w:rsidRPr="0071724A" w:rsidRDefault="0014352A" w:rsidP="00C91D74">
      <w:pPr>
        <w:pStyle w:val="Corpotesto"/>
        <w:spacing w:before="9"/>
        <w:ind w:left="0"/>
        <w:jc w:val="left"/>
        <w:rPr>
          <w:color w:val="002060"/>
          <w:sz w:val="21"/>
        </w:rPr>
      </w:pPr>
    </w:p>
    <w:p w:rsidR="0014352A" w:rsidRPr="0071724A" w:rsidRDefault="00A61F9F" w:rsidP="00C91D74">
      <w:pPr>
        <w:ind w:left="2948" w:right="2977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Articolo 7</w:t>
      </w:r>
    </w:p>
    <w:p w:rsidR="0014352A" w:rsidRPr="0071724A" w:rsidRDefault="00A61F9F" w:rsidP="00C91D74">
      <w:pPr>
        <w:ind w:left="1973" w:right="1724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(Utilizzo delle economie)</w:t>
      </w:r>
    </w:p>
    <w:p w:rsidR="0014352A" w:rsidRPr="0071724A" w:rsidRDefault="0014352A" w:rsidP="00C91D74">
      <w:pPr>
        <w:pStyle w:val="Corpotesto"/>
        <w:ind w:left="0"/>
        <w:jc w:val="left"/>
        <w:rPr>
          <w:b/>
          <w:color w:val="002060"/>
        </w:rPr>
      </w:pPr>
    </w:p>
    <w:p w:rsidR="0014352A" w:rsidRPr="0071724A" w:rsidRDefault="0014352A" w:rsidP="00BB588A">
      <w:pPr>
        <w:pStyle w:val="Corpotesto"/>
        <w:tabs>
          <w:tab w:val="left" w:pos="284"/>
        </w:tabs>
        <w:spacing w:line="360" w:lineRule="auto"/>
        <w:ind w:left="284" w:right="141" w:hanging="284"/>
        <w:rPr>
          <w:color w:val="002060"/>
        </w:rPr>
      </w:pPr>
    </w:p>
    <w:p w:rsidR="0014352A" w:rsidRPr="0071724A" w:rsidRDefault="0014352A" w:rsidP="00C91D74">
      <w:pPr>
        <w:pStyle w:val="Corpotesto"/>
        <w:ind w:left="0"/>
        <w:jc w:val="left"/>
        <w:rPr>
          <w:color w:val="002060"/>
          <w:sz w:val="26"/>
        </w:rPr>
      </w:pPr>
    </w:p>
    <w:p w:rsidR="008B4DC4" w:rsidRPr="0071724A" w:rsidRDefault="008B4DC4" w:rsidP="006C5C52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152" w:hanging="284"/>
        <w:rPr>
          <w:color w:val="002060"/>
          <w:sz w:val="24"/>
        </w:rPr>
      </w:pPr>
      <w:r w:rsidRPr="0071724A">
        <w:rPr>
          <w:color w:val="002060"/>
          <w:sz w:val="24"/>
        </w:rPr>
        <w:t xml:space="preserve">Al fine di garantire il raggiungimento degli obiettivi previsti dal PNRR, le economie restano nella </w:t>
      </w:r>
      <w:r w:rsidRPr="0071724A">
        <w:rPr>
          <w:color w:val="002060"/>
          <w:sz w:val="24"/>
        </w:rPr>
        <w:lastRenderedPageBreak/>
        <w:t xml:space="preserve">disponibilità del beneficiario sino al completamento di ciascun intervento, per garantire la copertura di eventuali imprevisti o per la fornitura di ulteriori autobus delle medesime caratteristiche, ferme restando le procedure previste dal presente decreto e quanto previsto dall’articolo 106 del d.lgs. n. 50/2016. </w:t>
      </w:r>
    </w:p>
    <w:p w:rsidR="008B4DC4" w:rsidRPr="0071724A" w:rsidRDefault="008B4DC4" w:rsidP="006C5C52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152" w:hanging="284"/>
        <w:rPr>
          <w:color w:val="002060"/>
          <w:sz w:val="24"/>
        </w:rPr>
      </w:pPr>
      <w:r w:rsidRPr="0071724A">
        <w:rPr>
          <w:color w:val="002060"/>
          <w:sz w:val="24"/>
        </w:rPr>
        <w:t>A seguito del completamento degli interventi di cui al comma precedente le economie finali, entro 60 giorni dalla fornitura dei mezzi, sono versate sul conto di tesoreria indicato dal Ministero dell’economia e delle finanze.</w:t>
      </w:r>
    </w:p>
    <w:p w:rsidR="0014352A" w:rsidRPr="0071724A" w:rsidRDefault="0014352A" w:rsidP="00C91D74">
      <w:pPr>
        <w:pStyle w:val="Corpotesto"/>
        <w:spacing w:before="2"/>
        <w:ind w:left="0"/>
        <w:jc w:val="left"/>
        <w:rPr>
          <w:color w:val="002060"/>
          <w:sz w:val="29"/>
        </w:rPr>
      </w:pPr>
    </w:p>
    <w:p w:rsidR="0014352A" w:rsidRPr="0071724A" w:rsidRDefault="00A61F9F" w:rsidP="00C91D74">
      <w:pPr>
        <w:spacing w:before="1"/>
        <w:ind w:left="2948" w:right="2977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Articolo 8</w:t>
      </w:r>
    </w:p>
    <w:p w:rsidR="0014352A" w:rsidRPr="0071724A" w:rsidRDefault="00A61F9F" w:rsidP="00C91D74">
      <w:pPr>
        <w:ind w:left="1973" w:right="1928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(Vincolo di destinazione)</w:t>
      </w:r>
    </w:p>
    <w:p w:rsidR="0014352A" w:rsidRPr="0071724A" w:rsidRDefault="00A61F9F" w:rsidP="006C5C52">
      <w:pPr>
        <w:pStyle w:val="Paragrafoelenco"/>
        <w:numPr>
          <w:ilvl w:val="0"/>
          <w:numId w:val="20"/>
        </w:numPr>
        <w:tabs>
          <w:tab w:val="left" w:pos="284"/>
        </w:tabs>
        <w:spacing w:line="360" w:lineRule="auto"/>
        <w:ind w:left="284" w:right="152" w:hanging="284"/>
        <w:rPr>
          <w:color w:val="002060"/>
          <w:sz w:val="24"/>
        </w:rPr>
      </w:pPr>
      <w:r w:rsidRPr="0071724A">
        <w:rPr>
          <w:color w:val="002060"/>
          <w:sz w:val="24"/>
        </w:rPr>
        <w:t>Gli autobus acquistati con le risorse di cui all’articolo 1, sono destinati esclusivamente ai servizi di trasporto pubblico locale di competenza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dei Comuni beneficiari delle risorse di cui al presente Decreto.</w:t>
      </w:r>
    </w:p>
    <w:p w:rsidR="0014352A" w:rsidRPr="0071724A" w:rsidRDefault="0014352A" w:rsidP="00C91D74">
      <w:pPr>
        <w:pStyle w:val="Corpotesto"/>
        <w:ind w:left="0"/>
        <w:jc w:val="left"/>
        <w:rPr>
          <w:color w:val="002060"/>
          <w:sz w:val="26"/>
        </w:rPr>
      </w:pPr>
    </w:p>
    <w:p w:rsidR="0014352A" w:rsidRPr="0071724A" w:rsidRDefault="0014352A" w:rsidP="00C91D74">
      <w:pPr>
        <w:pStyle w:val="Corpotesto"/>
        <w:spacing w:before="6"/>
        <w:ind w:left="0"/>
        <w:jc w:val="left"/>
        <w:rPr>
          <w:color w:val="002060"/>
          <w:sz w:val="22"/>
        </w:rPr>
      </w:pPr>
    </w:p>
    <w:p w:rsidR="0014352A" w:rsidRPr="0071724A" w:rsidRDefault="00A61F9F" w:rsidP="00C91D74">
      <w:pPr>
        <w:spacing w:line="274" w:lineRule="exact"/>
        <w:ind w:left="2948" w:right="2977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Articolo 9</w:t>
      </w:r>
    </w:p>
    <w:p w:rsidR="0014352A" w:rsidRPr="0071724A" w:rsidRDefault="00A61F9F" w:rsidP="00C91D74">
      <w:pPr>
        <w:spacing w:line="274" w:lineRule="exact"/>
        <w:ind w:left="1973" w:right="1995"/>
        <w:jc w:val="center"/>
        <w:rPr>
          <w:color w:val="002060"/>
          <w:sz w:val="24"/>
        </w:rPr>
      </w:pPr>
      <w:r w:rsidRPr="0071724A">
        <w:rPr>
          <w:b/>
          <w:color w:val="002060"/>
          <w:sz w:val="24"/>
        </w:rPr>
        <w:t>(Vincolo di reversibilità</w:t>
      </w:r>
      <w:r w:rsidRPr="0071724A">
        <w:rPr>
          <w:color w:val="002060"/>
          <w:sz w:val="24"/>
        </w:rPr>
        <w:t>)</w:t>
      </w:r>
    </w:p>
    <w:p w:rsidR="0014352A" w:rsidRPr="0071724A" w:rsidRDefault="0014352A" w:rsidP="00C91D74">
      <w:pPr>
        <w:pStyle w:val="Corpotesto"/>
        <w:ind w:left="0"/>
        <w:jc w:val="left"/>
        <w:rPr>
          <w:color w:val="002060"/>
        </w:rPr>
      </w:pPr>
    </w:p>
    <w:p w:rsidR="0014352A" w:rsidRPr="0071724A" w:rsidRDefault="00A61F9F" w:rsidP="00BB588A">
      <w:pPr>
        <w:pStyle w:val="Paragrafoelenco"/>
        <w:numPr>
          <w:ilvl w:val="0"/>
          <w:numId w:val="16"/>
        </w:numPr>
        <w:tabs>
          <w:tab w:val="left" w:pos="284"/>
        </w:tabs>
        <w:spacing w:line="360" w:lineRule="auto"/>
        <w:ind w:left="284" w:right="132" w:hanging="284"/>
        <w:rPr>
          <w:color w:val="002060"/>
          <w:sz w:val="24"/>
        </w:rPr>
      </w:pPr>
      <w:r w:rsidRPr="0071724A">
        <w:rPr>
          <w:color w:val="002060"/>
          <w:sz w:val="24"/>
        </w:rPr>
        <w:t>Gli autobus acquistati con le risorse di cui al presente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decreto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sono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 proprietà dei Comuni beneficiari delle risorse di cui al presente Decreto o di soggetto da essi designato di cui all’articolo 2,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comma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3,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o del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nuovo soggetto affidatario del servizio, purché ricorra il vincolo di reversibilità in favore del Comune, previo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riscatto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valore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residuo,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determinato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sulla base dei criteri stabiliti dalla misura 9, dell’Allegato A alla deliberazione 11 novembre 2019, n. 154, dell’Autorità di regolazione dei trasporti, al netto dell’eventuale quota non ammortizzata di contributo pubblico</w:t>
      </w:r>
      <w:r w:rsidR="00821350" w:rsidRPr="0071724A">
        <w:rPr>
          <w:color w:val="002060"/>
          <w:sz w:val="24"/>
        </w:rPr>
        <w:t>.</w:t>
      </w:r>
    </w:p>
    <w:p w:rsidR="0014352A" w:rsidRPr="0071724A" w:rsidRDefault="0014352A" w:rsidP="00C91D74">
      <w:pPr>
        <w:pStyle w:val="Corpotesto"/>
        <w:spacing w:before="6"/>
        <w:ind w:left="0"/>
        <w:jc w:val="left"/>
        <w:rPr>
          <w:color w:val="002060"/>
          <w:sz w:val="34"/>
        </w:rPr>
      </w:pPr>
    </w:p>
    <w:p w:rsidR="0014352A" w:rsidRPr="0071724A" w:rsidRDefault="00A61F9F" w:rsidP="00C91D74">
      <w:pPr>
        <w:spacing w:before="1"/>
        <w:ind w:left="4249" w:right="4282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Articolo 10 (Verifiche)</w:t>
      </w:r>
    </w:p>
    <w:p w:rsidR="0014352A" w:rsidRPr="0071724A" w:rsidRDefault="0014352A" w:rsidP="00C91D74">
      <w:pPr>
        <w:pStyle w:val="Corpotesto"/>
        <w:spacing w:before="4"/>
        <w:ind w:left="0"/>
        <w:jc w:val="left"/>
        <w:rPr>
          <w:b/>
          <w:color w:val="002060"/>
          <w:sz w:val="34"/>
        </w:rPr>
      </w:pPr>
    </w:p>
    <w:p w:rsidR="0014352A" w:rsidRPr="0071724A" w:rsidRDefault="00A61F9F" w:rsidP="00BB588A">
      <w:pPr>
        <w:pStyle w:val="Paragrafoelenco"/>
        <w:numPr>
          <w:ilvl w:val="0"/>
          <w:numId w:val="2"/>
        </w:numPr>
        <w:tabs>
          <w:tab w:val="left" w:pos="284"/>
        </w:tabs>
        <w:spacing w:before="76" w:line="360" w:lineRule="auto"/>
        <w:ind w:left="284" w:right="130" w:hanging="284"/>
        <w:rPr>
          <w:color w:val="002060"/>
          <w:sz w:val="24"/>
        </w:rPr>
      </w:pPr>
      <w:r w:rsidRPr="0071724A">
        <w:rPr>
          <w:color w:val="002060"/>
          <w:sz w:val="24"/>
        </w:rPr>
        <w:t>Ai fini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dell’audit e della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tutela degli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interessi finanziari dell’Unione europea e nazionale tutti i soggetti di cui all’art. 22, comma 2, lettera e)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del Regolamento (UE) 2021/241, nonché l’Ufficio di audit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PNRR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cui all’art. 7 del decreto-legge 31 maggio 2021, n. 77 e gli altri soggetti con</w:t>
      </w:r>
      <w:r w:rsidR="002004BB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compiti istituzionali di controllo della spesa hanno accesso ai dati e ai documenti necessari per esercitare le loro funzioni.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 Comuni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con popolazione superiore a 100.000 abitanti e le Città metropolitane assegnatari delle risorse di cui al presente decreto, nonché i soggetti individuati eventualmente ai sensi dell’articolo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2,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comma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3,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consentono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l’esercizio delle funzioni di controllo, audit e verifica, anche con accesso in loco e mantengono disponibile la documentazione a supporto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secondo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quanto previsto dalla normativa europea e nazionale in materia.</w:t>
      </w:r>
    </w:p>
    <w:p w:rsidR="0014352A" w:rsidRPr="0071724A" w:rsidRDefault="00A61F9F" w:rsidP="00BB588A">
      <w:pPr>
        <w:pStyle w:val="Paragrafoelenco"/>
        <w:numPr>
          <w:ilvl w:val="0"/>
          <w:numId w:val="2"/>
        </w:numPr>
        <w:tabs>
          <w:tab w:val="left" w:pos="284"/>
        </w:tabs>
        <w:spacing w:before="1" w:line="360" w:lineRule="auto"/>
        <w:ind w:left="284" w:right="139" w:hanging="284"/>
        <w:rPr>
          <w:color w:val="002060"/>
          <w:sz w:val="24"/>
        </w:rPr>
      </w:pPr>
      <w:r w:rsidRPr="0071724A">
        <w:rPr>
          <w:color w:val="002060"/>
          <w:sz w:val="24"/>
        </w:rPr>
        <w:lastRenderedPageBreak/>
        <w:t>Fermo restando quanto previsto al comma 1, il Ministero si riserva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di effettuare verifiche a campione, anche in loco,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sull’attuazione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delle forniture e dell’effettivo utilizzo delle risorse di cui all’articolo 1.</w:t>
      </w:r>
    </w:p>
    <w:p w:rsidR="0014352A" w:rsidRPr="0071724A" w:rsidRDefault="00A61F9F" w:rsidP="00BB588A">
      <w:pPr>
        <w:pStyle w:val="Paragrafoelenco"/>
        <w:numPr>
          <w:ilvl w:val="0"/>
          <w:numId w:val="2"/>
        </w:numPr>
        <w:tabs>
          <w:tab w:val="left" w:pos="284"/>
        </w:tabs>
        <w:spacing w:before="2" w:line="360" w:lineRule="auto"/>
        <w:ind w:left="284" w:right="143" w:hanging="284"/>
        <w:rPr>
          <w:color w:val="002060"/>
          <w:sz w:val="24"/>
        </w:rPr>
      </w:pPr>
      <w:r w:rsidRPr="0071724A">
        <w:rPr>
          <w:color w:val="002060"/>
          <w:sz w:val="24"/>
        </w:rPr>
        <w:t>I Comuni dovranno consentire l’accesso a tutta la documentazione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ed assicurare l’assistenza necessaria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per l’espletamento delle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suddette verifiche.</w:t>
      </w:r>
    </w:p>
    <w:p w:rsidR="0014352A" w:rsidRPr="0071724A" w:rsidRDefault="00A61F9F" w:rsidP="00BB588A">
      <w:pPr>
        <w:pStyle w:val="Paragrafoelenco"/>
        <w:numPr>
          <w:ilvl w:val="0"/>
          <w:numId w:val="2"/>
        </w:numPr>
        <w:tabs>
          <w:tab w:val="left" w:pos="284"/>
        </w:tabs>
        <w:spacing w:line="362" w:lineRule="auto"/>
        <w:ind w:left="284" w:right="153" w:hanging="284"/>
        <w:rPr>
          <w:color w:val="002060"/>
          <w:sz w:val="24"/>
        </w:rPr>
      </w:pPr>
      <w:r w:rsidRPr="0071724A">
        <w:rPr>
          <w:color w:val="002060"/>
          <w:sz w:val="24"/>
        </w:rPr>
        <w:t>In caso di violazioni accertate a seguito di attività di controllo, il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MIMS procede alla revoca dei finanziamenti.</w:t>
      </w:r>
    </w:p>
    <w:p w:rsidR="0014352A" w:rsidRPr="0071724A" w:rsidRDefault="0014352A" w:rsidP="00C91D74">
      <w:pPr>
        <w:pStyle w:val="Corpotesto"/>
        <w:spacing w:before="10"/>
        <w:ind w:left="0"/>
        <w:jc w:val="left"/>
        <w:rPr>
          <w:color w:val="002060"/>
          <w:sz w:val="33"/>
        </w:rPr>
      </w:pPr>
    </w:p>
    <w:p w:rsidR="0014352A" w:rsidRPr="0071724A" w:rsidRDefault="00A61F9F" w:rsidP="00C91D74">
      <w:pPr>
        <w:ind w:left="1967" w:right="2000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Articolo 11</w:t>
      </w:r>
    </w:p>
    <w:p w:rsidR="0014352A" w:rsidRPr="0071724A" w:rsidRDefault="00A61F9F" w:rsidP="00C91D74">
      <w:pPr>
        <w:ind w:left="2943" w:right="2977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(Monitoraggio)</w:t>
      </w:r>
    </w:p>
    <w:p w:rsidR="0014352A" w:rsidRPr="0071724A" w:rsidRDefault="0014352A" w:rsidP="00C91D74">
      <w:pPr>
        <w:pStyle w:val="Corpotesto"/>
        <w:spacing w:before="5"/>
        <w:ind w:left="0"/>
        <w:jc w:val="left"/>
        <w:rPr>
          <w:b/>
          <w:color w:val="002060"/>
          <w:sz w:val="34"/>
        </w:rPr>
      </w:pPr>
    </w:p>
    <w:p w:rsidR="0014352A" w:rsidRPr="0071724A" w:rsidRDefault="00A61F9F" w:rsidP="00BB588A">
      <w:pPr>
        <w:pStyle w:val="Paragrafoelenco"/>
        <w:numPr>
          <w:ilvl w:val="0"/>
          <w:numId w:val="1"/>
        </w:numPr>
        <w:tabs>
          <w:tab w:val="left" w:pos="426"/>
        </w:tabs>
        <w:spacing w:before="136" w:line="360" w:lineRule="auto"/>
        <w:ind w:left="426" w:right="134" w:hanging="426"/>
        <w:rPr>
          <w:color w:val="002060"/>
        </w:rPr>
      </w:pPr>
      <w:r w:rsidRPr="0071724A">
        <w:rPr>
          <w:color w:val="002060"/>
          <w:sz w:val="24"/>
        </w:rPr>
        <w:t xml:space="preserve">Il Soggetto attuatore ovvero il titolare del CUP effettua il monitoraggio finanziario, fisico e procedurale nonché la rendicontazione degli interventi finanziati, classificati sotto la voce: </w:t>
      </w:r>
      <w:r w:rsidRPr="0071724A">
        <w:rPr>
          <w:i/>
          <w:color w:val="002060"/>
          <w:sz w:val="24"/>
        </w:rPr>
        <w:t>““PNRR – misura M2 C2 –4.4 “Rinnovo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flotte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bus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e treni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verdi”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sub-investimento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4.4.1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“</w:t>
      </w:r>
      <w:r w:rsidR="00E64939" w:rsidRPr="0071724A">
        <w:rPr>
          <w:i/>
          <w:color w:val="002060"/>
          <w:sz w:val="24"/>
        </w:rPr>
        <w:t xml:space="preserve"> </w:t>
      </w:r>
      <w:r w:rsidRPr="0071724A">
        <w:rPr>
          <w:i/>
          <w:color w:val="002060"/>
          <w:sz w:val="24"/>
        </w:rPr>
        <w:t>Bus”</w:t>
      </w:r>
      <w:r w:rsidR="004359E8" w:rsidRPr="0071724A">
        <w:rPr>
          <w:i/>
          <w:color w:val="002060"/>
          <w:sz w:val="24"/>
        </w:rPr>
        <w:t xml:space="preserve"> </w:t>
      </w:r>
      <w:r w:rsidRPr="0071724A">
        <w:rPr>
          <w:color w:val="002060"/>
          <w:sz w:val="24"/>
          <w:szCs w:val="24"/>
        </w:rPr>
        <w:t xml:space="preserve">valorizzando l’indicatore fisico </w:t>
      </w:r>
      <w:r w:rsidR="00BB5FC0" w:rsidRPr="0071724A">
        <w:rPr>
          <w:color w:val="002060"/>
          <w:sz w:val="24"/>
          <w:szCs w:val="24"/>
        </w:rPr>
        <w:t>con il numero previsto di autobus corrispondenti</w:t>
      </w:r>
      <w:r w:rsidR="004359E8" w:rsidRPr="0071724A">
        <w:rPr>
          <w:color w:val="002060"/>
          <w:sz w:val="24"/>
          <w:szCs w:val="24"/>
        </w:rPr>
        <w:t>.</w:t>
      </w:r>
    </w:p>
    <w:p w:rsidR="0014352A" w:rsidRPr="0071724A" w:rsidRDefault="00A61F9F" w:rsidP="00BB588A">
      <w:pPr>
        <w:pStyle w:val="Paragrafoelenco"/>
        <w:numPr>
          <w:ilvl w:val="0"/>
          <w:numId w:val="1"/>
        </w:numPr>
        <w:tabs>
          <w:tab w:val="left" w:pos="426"/>
        </w:tabs>
        <w:spacing w:before="140" w:line="360" w:lineRule="auto"/>
        <w:ind w:left="426" w:right="140" w:hanging="426"/>
        <w:rPr>
          <w:color w:val="002060"/>
          <w:sz w:val="24"/>
        </w:rPr>
      </w:pPr>
      <w:r w:rsidRPr="0071724A">
        <w:rPr>
          <w:color w:val="002060"/>
          <w:sz w:val="24"/>
        </w:rPr>
        <w:t>Il monitoraggio delle forniture finanziate con le risorse di cui all’articolo 1 avviene con le modalità definite nei provvedimenti nazionali attuativi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del Piano Nazionale di Ripresa e Resilienza e delle condizionalità richieste per lo specifico investimento.</w:t>
      </w:r>
    </w:p>
    <w:p w:rsidR="0014352A" w:rsidRPr="0071724A" w:rsidRDefault="00A61F9F" w:rsidP="00BB588A">
      <w:pPr>
        <w:pStyle w:val="Paragrafoelenco"/>
        <w:numPr>
          <w:ilvl w:val="0"/>
          <w:numId w:val="1"/>
        </w:numPr>
        <w:tabs>
          <w:tab w:val="left" w:pos="426"/>
        </w:tabs>
        <w:spacing w:before="1" w:line="360" w:lineRule="auto"/>
        <w:ind w:left="426" w:right="150" w:hanging="426"/>
        <w:rPr>
          <w:color w:val="002060"/>
          <w:sz w:val="24"/>
        </w:rPr>
      </w:pPr>
      <w:r w:rsidRPr="0071724A">
        <w:rPr>
          <w:color w:val="002060"/>
          <w:sz w:val="24"/>
        </w:rPr>
        <w:t>Il piano di riparto e gli obiettivi relativi agli autobus da acquistare di cui all’Allegato 1 possono essere rimodulati, ferma restando l’assegnazione complessiva, su richiesta motivata dei Comuni beneficiari,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anche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per</w:t>
      </w:r>
      <w:r w:rsidR="00E64939" w:rsidRPr="0071724A">
        <w:rPr>
          <w:color w:val="002060"/>
          <w:sz w:val="24"/>
        </w:rPr>
        <w:t xml:space="preserve"> </w:t>
      </w:r>
      <w:r w:rsidRPr="0071724A">
        <w:rPr>
          <w:color w:val="002060"/>
          <w:sz w:val="24"/>
        </w:rPr>
        <w:t>il tramite di ANCI, entro il termine del 30 giugno 2022.</w:t>
      </w:r>
    </w:p>
    <w:p w:rsidR="0014352A" w:rsidRPr="0071724A" w:rsidRDefault="0014352A" w:rsidP="00C91D74">
      <w:pPr>
        <w:pStyle w:val="Corpotesto"/>
        <w:ind w:left="0"/>
        <w:jc w:val="left"/>
        <w:rPr>
          <w:color w:val="002060"/>
          <w:sz w:val="26"/>
        </w:rPr>
      </w:pPr>
    </w:p>
    <w:p w:rsidR="0014352A" w:rsidRPr="0071724A" w:rsidRDefault="0014352A" w:rsidP="00C91D74">
      <w:pPr>
        <w:pStyle w:val="Corpotesto"/>
        <w:spacing w:before="4"/>
        <w:ind w:left="0"/>
        <w:jc w:val="left"/>
        <w:rPr>
          <w:color w:val="002060"/>
          <w:sz w:val="22"/>
        </w:rPr>
      </w:pPr>
    </w:p>
    <w:p w:rsidR="0014352A" w:rsidRPr="0071724A" w:rsidRDefault="00A61F9F" w:rsidP="00C91D74">
      <w:pPr>
        <w:ind w:left="1967" w:right="2000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Articolo 12</w:t>
      </w:r>
    </w:p>
    <w:p w:rsidR="0014352A" w:rsidRPr="0071724A" w:rsidRDefault="00A61F9F" w:rsidP="00C91D74">
      <w:pPr>
        <w:spacing w:before="76"/>
        <w:ind w:left="1973" w:right="1921"/>
        <w:jc w:val="center"/>
        <w:rPr>
          <w:b/>
          <w:color w:val="002060"/>
          <w:sz w:val="24"/>
        </w:rPr>
      </w:pPr>
      <w:r w:rsidRPr="0071724A">
        <w:rPr>
          <w:b/>
          <w:color w:val="002060"/>
          <w:sz w:val="24"/>
        </w:rPr>
        <w:t>(Efficacia)</w:t>
      </w:r>
    </w:p>
    <w:p w:rsidR="0014352A" w:rsidRPr="0071724A" w:rsidRDefault="00A61F9F" w:rsidP="00BB588A">
      <w:pPr>
        <w:pStyle w:val="Corpotesto"/>
        <w:tabs>
          <w:tab w:val="left" w:pos="426"/>
        </w:tabs>
        <w:spacing w:before="217" w:line="360" w:lineRule="auto"/>
        <w:ind w:left="426" w:right="144" w:hanging="426"/>
        <w:rPr>
          <w:color w:val="002060"/>
        </w:rPr>
      </w:pPr>
      <w:r w:rsidRPr="0071724A">
        <w:rPr>
          <w:color w:val="002060"/>
        </w:rPr>
        <w:t>1. Il presente decreto acquista efficacia dalla data di comunicazione ai Comuni beneficiari delle risorse di cui all’articolo 1,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dell’avvenuta</w:t>
      </w:r>
      <w:r w:rsidR="00E64939" w:rsidRPr="0071724A">
        <w:rPr>
          <w:color w:val="002060"/>
        </w:rPr>
        <w:t xml:space="preserve"> </w:t>
      </w:r>
      <w:r w:rsidRPr="0071724A">
        <w:rPr>
          <w:color w:val="002060"/>
        </w:rPr>
        <w:t>registrazione presso gli Organi di Controllo.</w:t>
      </w:r>
    </w:p>
    <w:p w:rsidR="0014352A" w:rsidRPr="0071724A" w:rsidRDefault="0014352A" w:rsidP="00C91D74">
      <w:pPr>
        <w:pStyle w:val="Corpotesto"/>
        <w:ind w:left="0"/>
        <w:jc w:val="left"/>
        <w:rPr>
          <w:color w:val="002060"/>
          <w:sz w:val="26"/>
        </w:rPr>
      </w:pPr>
    </w:p>
    <w:p w:rsidR="0014352A" w:rsidRPr="0071724A" w:rsidRDefault="0014352A" w:rsidP="00C91D74">
      <w:pPr>
        <w:pStyle w:val="Corpotesto"/>
        <w:spacing w:before="2"/>
        <w:ind w:left="0"/>
        <w:jc w:val="left"/>
        <w:rPr>
          <w:color w:val="002060"/>
          <w:sz w:val="29"/>
        </w:rPr>
      </w:pPr>
    </w:p>
    <w:p w:rsidR="0014352A" w:rsidRPr="0071724A" w:rsidRDefault="00A61F9F" w:rsidP="00C91D74">
      <w:pPr>
        <w:pStyle w:val="Corpotesto"/>
        <w:ind w:left="0" w:right="1283"/>
        <w:jc w:val="right"/>
        <w:rPr>
          <w:color w:val="002060"/>
        </w:rPr>
      </w:pPr>
      <w:r w:rsidRPr="0071724A">
        <w:rPr>
          <w:color w:val="002060"/>
        </w:rPr>
        <w:t>IL MINISTRO</w:t>
      </w:r>
    </w:p>
    <w:sectPr w:rsidR="0014352A" w:rsidRPr="0071724A">
      <w:footerReference w:type="default" r:id="rId11"/>
      <w:pgSz w:w="11910" w:h="16840"/>
      <w:pgMar w:top="1320" w:right="1020" w:bottom="940" w:left="1020" w:header="0" w:footer="753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19E7E" w16cex:dateUtc="2021-12-13T09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D89" w:rsidRDefault="00BE7D89">
      <w:r>
        <w:separator/>
      </w:r>
    </w:p>
  </w:endnote>
  <w:endnote w:type="continuationSeparator" w:id="0">
    <w:p w:rsidR="00BE7D89" w:rsidRDefault="00BE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52A" w:rsidRDefault="006C5C52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A2741A">
              <wp:simplePos x="0" y="0"/>
              <wp:positionH relativeFrom="page">
                <wp:posOffset>7058660</wp:posOffset>
              </wp:positionH>
              <wp:positionV relativeFrom="page">
                <wp:posOffset>10073005</wp:posOffset>
              </wp:positionV>
              <wp:extent cx="2286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52A" w:rsidRDefault="00A61F9F">
                          <w:pPr>
                            <w:pStyle w:val="Corpotesto"/>
                            <w:spacing w:line="264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724A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274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5.8pt;margin-top:793.15pt;width:1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8DrrA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" filled="f" stroked="f">
              <v:textbox inset="0,0,0,0">
                <w:txbxContent>
                  <w:p w:rsidR="0014352A" w:rsidRDefault="00A61F9F">
                    <w:pPr>
                      <w:pStyle w:val="Corpotesto"/>
                      <w:spacing w:line="264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724A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D89" w:rsidRDefault="00BE7D89">
      <w:r>
        <w:separator/>
      </w:r>
    </w:p>
  </w:footnote>
  <w:footnote w:type="continuationSeparator" w:id="0">
    <w:p w:rsidR="00BE7D89" w:rsidRDefault="00BE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764"/>
    <w:multiLevelType w:val="hybridMultilevel"/>
    <w:tmpl w:val="1E96AFCC"/>
    <w:lvl w:ilvl="0" w:tplc="D7E27BB6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9184DC2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D41EE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368B30E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A3462EEE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D430D5FA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7C927C66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D4B6C9FE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8B3AA794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D466B57"/>
    <w:multiLevelType w:val="hybridMultilevel"/>
    <w:tmpl w:val="6CA43ECA"/>
    <w:lvl w:ilvl="0" w:tplc="1812F36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87C27CF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F90168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A963806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897E31AE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6CD48C74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D5BE6FD6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EA7C2F34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69346788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2493D56"/>
    <w:multiLevelType w:val="hybridMultilevel"/>
    <w:tmpl w:val="89667698"/>
    <w:lvl w:ilvl="0" w:tplc="197E74DE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E39A356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9DE858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460EA9E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45DEBBF6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7F3A7894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4F1AF2F4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0A18A7A4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C4EE8782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5D54373"/>
    <w:multiLevelType w:val="hybridMultilevel"/>
    <w:tmpl w:val="940C0BE2"/>
    <w:lvl w:ilvl="0" w:tplc="18582BB6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4954809E">
      <w:numFmt w:val="bullet"/>
      <w:lvlText w:val="o"/>
      <w:lvlJc w:val="left"/>
      <w:pPr>
        <w:ind w:left="1389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D520A378">
      <w:numFmt w:val="bullet"/>
      <w:lvlText w:val="•"/>
      <w:lvlJc w:val="left"/>
      <w:pPr>
        <w:ind w:left="2323" w:hanging="361"/>
      </w:pPr>
      <w:rPr>
        <w:rFonts w:hint="default"/>
        <w:lang w:val="it-IT" w:eastAsia="en-US" w:bidi="ar-SA"/>
      </w:rPr>
    </w:lvl>
    <w:lvl w:ilvl="3" w:tplc="A492FD0C">
      <w:numFmt w:val="bullet"/>
      <w:lvlText w:val="•"/>
      <w:lvlJc w:val="left"/>
      <w:pPr>
        <w:ind w:left="3266" w:hanging="361"/>
      </w:pPr>
      <w:rPr>
        <w:rFonts w:hint="default"/>
        <w:lang w:val="it-IT" w:eastAsia="en-US" w:bidi="ar-SA"/>
      </w:rPr>
    </w:lvl>
    <w:lvl w:ilvl="4" w:tplc="379480AA">
      <w:numFmt w:val="bullet"/>
      <w:lvlText w:val="•"/>
      <w:lvlJc w:val="left"/>
      <w:pPr>
        <w:ind w:left="4209" w:hanging="361"/>
      </w:pPr>
      <w:rPr>
        <w:rFonts w:hint="default"/>
        <w:lang w:val="it-IT" w:eastAsia="en-US" w:bidi="ar-SA"/>
      </w:rPr>
    </w:lvl>
    <w:lvl w:ilvl="5" w:tplc="A16E7446">
      <w:numFmt w:val="bullet"/>
      <w:lvlText w:val="•"/>
      <w:lvlJc w:val="left"/>
      <w:pPr>
        <w:ind w:left="5152" w:hanging="361"/>
      </w:pPr>
      <w:rPr>
        <w:rFonts w:hint="default"/>
        <w:lang w:val="it-IT" w:eastAsia="en-US" w:bidi="ar-SA"/>
      </w:rPr>
    </w:lvl>
    <w:lvl w:ilvl="6" w:tplc="41EEC0D2">
      <w:numFmt w:val="bullet"/>
      <w:lvlText w:val="•"/>
      <w:lvlJc w:val="left"/>
      <w:pPr>
        <w:ind w:left="6095" w:hanging="361"/>
      </w:pPr>
      <w:rPr>
        <w:rFonts w:hint="default"/>
        <w:lang w:val="it-IT" w:eastAsia="en-US" w:bidi="ar-SA"/>
      </w:rPr>
    </w:lvl>
    <w:lvl w:ilvl="7" w:tplc="EC8C6DEE">
      <w:numFmt w:val="bullet"/>
      <w:lvlText w:val="•"/>
      <w:lvlJc w:val="left"/>
      <w:pPr>
        <w:ind w:left="7038" w:hanging="361"/>
      </w:pPr>
      <w:rPr>
        <w:rFonts w:hint="default"/>
        <w:lang w:val="it-IT" w:eastAsia="en-US" w:bidi="ar-SA"/>
      </w:rPr>
    </w:lvl>
    <w:lvl w:ilvl="8" w:tplc="C388B8CC">
      <w:numFmt w:val="bullet"/>
      <w:lvlText w:val="•"/>
      <w:lvlJc w:val="left"/>
      <w:pPr>
        <w:ind w:left="798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C65025F"/>
    <w:multiLevelType w:val="hybridMultilevel"/>
    <w:tmpl w:val="26249108"/>
    <w:lvl w:ilvl="0" w:tplc="615A2F86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8864D0E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E840B5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F683392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F68272FC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CE1E14D2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FDC4DA3E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3886ECA4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DB6EBDA6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EC47F88"/>
    <w:multiLevelType w:val="hybridMultilevel"/>
    <w:tmpl w:val="AFF26EE0"/>
    <w:lvl w:ilvl="0" w:tplc="EA7089A6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2C6C8BE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98E5F3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FB67C3E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B8CE5E6C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C9321C18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445E3938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7A8254BE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60C8642E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FD743A3"/>
    <w:multiLevelType w:val="hybridMultilevel"/>
    <w:tmpl w:val="89667698"/>
    <w:lvl w:ilvl="0" w:tplc="197E74DE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E39A356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9DE858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460EA9E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45DEBBF6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7F3A7894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4F1AF2F4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0A18A7A4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C4EE8782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7E2515B"/>
    <w:multiLevelType w:val="hybridMultilevel"/>
    <w:tmpl w:val="89667698"/>
    <w:lvl w:ilvl="0" w:tplc="FFFFFFFF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8A87B20"/>
    <w:multiLevelType w:val="hybridMultilevel"/>
    <w:tmpl w:val="415239DC"/>
    <w:lvl w:ilvl="0" w:tplc="48CC41B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BAD0DDB"/>
    <w:multiLevelType w:val="hybridMultilevel"/>
    <w:tmpl w:val="8A6A889A"/>
    <w:lvl w:ilvl="0" w:tplc="1E005B3E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F098C1F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AC8B4B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7E83152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6F241236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143C91AE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40F8B534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FDBE2D20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9BD610E6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F4F7DA4"/>
    <w:multiLevelType w:val="hybridMultilevel"/>
    <w:tmpl w:val="B65A4BEA"/>
    <w:lvl w:ilvl="0" w:tplc="9DAE820E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EFAC1C4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E5C37A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2AE08C0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E9BEBE6E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F70ACD0C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04A0BAA4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99BAF46C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9E129178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0326C77"/>
    <w:multiLevelType w:val="hybridMultilevel"/>
    <w:tmpl w:val="37260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15925"/>
    <w:multiLevelType w:val="hybridMultilevel"/>
    <w:tmpl w:val="B65A4BEA"/>
    <w:lvl w:ilvl="0" w:tplc="FFFFFFFF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AF5521E"/>
    <w:multiLevelType w:val="hybridMultilevel"/>
    <w:tmpl w:val="3EA80A3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B1411BF"/>
    <w:multiLevelType w:val="hybridMultilevel"/>
    <w:tmpl w:val="89667698"/>
    <w:lvl w:ilvl="0" w:tplc="197E74DE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E39A356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9DE858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460EA9E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45DEBBF6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7F3A7894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4F1AF2F4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0A18A7A4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C4EE8782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C936100"/>
    <w:multiLevelType w:val="hybridMultilevel"/>
    <w:tmpl w:val="26249108"/>
    <w:lvl w:ilvl="0" w:tplc="FFFFFFFF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1DA5C2D"/>
    <w:multiLevelType w:val="hybridMultilevel"/>
    <w:tmpl w:val="B65A4BEA"/>
    <w:lvl w:ilvl="0" w:tplc="FFFFFFFF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2337CED"/>
    <w:multiLevelType w:val="hybridMultilevel"/>
    <w:tmpl w:val="C088CFAC"/>
    <w:lvl w:ilvl="0" w:tplc="6EECE25E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BACEF2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EA2983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5E4306E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55BCA136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3F48125C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991A1900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8E7CCDAA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9906E25A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6603F65"/>
    <w:multiLevelType w:val="hybridMultilevel"/>
    <w:tmpl w:val="88CA2A06"/>
    <w:lvl w:ilvl="0" w:tplc="8D987C44">
      <w:numFmt w:val="bullet"/>
      <w:lvlText w:val="o"/>
      <w:lvlJc w:val="left"/>
      <w:pPr>
        <w:ind w:left="1389" w:hanging="285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B8BEED08">
      <w:numFmt w:val="bullet"/>
      <w:lvlText w:val="•"/>
      <w:lvlJc w:val="left"/>
      <w:pPr>
        <w:ind w:left="2228" w:hanging="285"/>
      </w:pPr>
      <w:rPr>
        <w:rFonts w:hint="default"/>
        <w:lang w:val="it-IT" w:eastAsia="en-US" w:bidi="ar-SA"/>
      </w:rPr>
    </w:lvl>
    <w:lvl w:ilvl="2" w:tplc="F208A63C">
      <w:numFmt w:val="bullet"/>
      <w:lvlText w:val="•"/>
      <w:lvlJc w:val="left"/>
      <w:pPr>
        <w:ind w:left="3077" w:hanging="285"/>
      </w:pPr>
      <w:rPr>
        <w:rFonts w:hint="default"/>
        <w:lang w:val="it-IT" w:eastAsia="en-US" w:bidi="ar-SA"/>
      </w:rPr>
    </w:lvl>
    <w:lvl w:ilvl="3" w:tplc="B7245A40">
      <w:numFmt w:val="bullet"/>
      <w:lvlText w:val="•"/>
      <w:lvlJc w:val="left"/>
      <w:pPr>
        <w:ind w:left="3926" w:hanging="285"/>
      </w:pPr>
      <w:rPr>
        <w:rFonts w:hint="default"/>
        <w:lang w:val="it-IT" w:eastAsia="en-US" w:bidi="ar-SA"/>
      </w:rPr>
    </w:lvl>
    <w:lvl w:ilvl="4" w:tplc="9FD650A4">
      <w:numFmt w:val="bullet"/>
      <w:lvlText w:val="•"/>
      <w:lvlJc w:val="left"/>
      <w:pPr>
        <w:ind w:left="4775" w:hanging="285"/>
      </w:pPr>
      <w:rPr>
        <w:rFonts w:hint="default"/>
        <w:lang w:val="it-IT" w:eastAsia="en-US" w:bidi="ar-SA"/>
      </w:rPr>
    </w:lvl>
    <w:lvl w:ilvl="5" w:tplc="2E62EB80">
      <w:numFmt w:val="bullet"/>
      <w:lvlText w:val="•"/>
      <w:lvlJc w:val="left"/>
      <w:pPr>
        <w:ind w:left="5624" w:hanging="285"/>
      </w:pPr>
      <w:rPr>
        <w:rFonts w:hint="default"/>
        <w:lang w:val="it-IT" w:eastAsia="en-US" w:bidi="ar-SA"/>
      </w:rPr>
    </w:lvl>
    <w:lvl w:ilvl="6" w:tplc="163090CA">
      <w:numFmt w:val="bullet"/>
      <w:lvlText w:val="•"/>
      <w:lvlJc w:val="left"/>
      <w:pPr>
        <w:ind w:left="6472" w:hanging="285"/>
      </w:pPr>
      <w:rPr>
        <w:rFonts w:hint="default"/>
        <w:lang w:val="it-IT" w:eastAsia="en-US" w:bidi="ar-SA"/>
      </w:rPr>
    </w:lvl>
    <w:lvl w:ilvl="7" w:tplc="36665E2E">
      <w:numFmt w:val="bullet"/>
      <w:lvlText w:val="•"/>
      <w:lvlJc w:val="left"/>
      <w:pPr>
        <w:ind w:left="7321" w:hanging="285"/>
      </w:pPr>
      <w:rPr>
        <w:rFonts w:hint="default"/>
        <w:lang w:val="it-IT" w:eastAsia="en-US" w:bidi="ar-SA"/>
      </w:rPr>
    </w:lvl>
    <w:lvl w:ilvl="8" w:tplc="A2F07640">
      <w:numFmt w:val="bullet"/>
      <w:lvlText w:val="•"/>
      <w:lvlJc w:val="left"/>
      <w:pPr>
        <w:ind w:left="8170" w:hanging="285"/>
      </w:pPr>
      <w:rPr>
        <w:rFonts w:hint="default"/>
        <w:lang w:val="it-IT" w:eastAsia="en-US" w:bidi="ar-SA"/>
      </w:rPr>
    </w:lvl>
  </w:abstractNum>
  <w:abstractNum w:abstractNumId="19" w15:restartNumberingAfterBreak="0">
    <w:nsid w:val="6DD3744B"/>
    <w:multiLevelType w:val="hybridMultilevel"/>
    <w:tmpl w:val="413E58BA"/>
    <w:lvl w:ilvl="0" w:tplc="EF3EC388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5"/>
  </w:num>
  <w:num w:numId="10">
    <w:abstractNumId w:val="18"/>
  </w:num>
  <w:num w:numId="11">
    <w:abstractNumId w:val="13"/>
  </w:num>
  <w:num w:numId="12">
    <w:abstractNumId w:val="8"/>
  </w:num>
  <w:num w:numId="13">
    <w:abstractNumId w:val="16"/>
  </w:num>
  <w:num w:numId="14">
    <w:abstractNumId w:val="12"/>
  </w:num>
  <w:num w:numId="15">
    <w:abstractNumId w:val="15"/>
  </w:num>
  <w:num w:numId="16">
    <w:abstractNumId w:val="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2A"/>
    <w:rsid w:val="000325C9"/>
    <w:rsid w:val="000C3DF5"/>
    <w:rsid w:val="000F4B78"/>
    <w:rsid w:val="000F6C3C"/>
    <w:rsid w:val="0014352A"/>
    <w:rsid w:val="002004BB"/>
    <w:rsid w:val="002D3C96"/>
    <w:rsid w:val="00396C8F"/>
    <w:rsid w:val="003F24DA"/>
    <w:rsid w:val="004359E8"/>
    <w:rsid w:val="00477105"/>
    <w:rsid w:val="00602E95"/>
    <w:rsid w:val="00607E6F"/>
    <w:rsid w:val="0066249F"/>
    <w:rsid w:val="00664C14"/>
    <w:rsid w:val="006C5C52"/>
    <w:rsid w:val="006E092A"/>
    <w:rsid w:val="0071724A"/>
    <w:rsid w:val="0072751B"/>
    <w:rsid w:val="007E3284"/>
    <w:rsid w:val="00821350"/>
    <w:rsid w:val="00857C0C"/>
    <w:rsid w:val="0086655B"/>
    <w:rsid w:val="00884BCF"/>
    <w:rsid w:val="0089083A"/>
    <w:rsid w:val="008B4DC4"/>
    <w:rsid w:val="0091019F"/>
    <w:rsid w:val="00912B7D"/>
    <w:rsid w:val="0094330D"/>
    <w:rsid w:val="00A2424D"/>
    <w:rsid w:val="00A26F31"/>
    <w:rsid w:val="00A61F9F"/>
    <w:rsid w:val="00AB7B1F"/>
    <w:rsid w:val="00BB588A"/>
    <w:rsid w:val="00BB5FC0"/>
    <w:rsid w:val="00BE7D89"/>
    <w:rsid w:val="00BF082E"/>
    <w:rsid w:val="00C91D74"/>
    <w:rsid w:val="00CD041A"/>
    <w:rsid w:val="00DA685F"/>
    <w:rsid w:val="00DE1C7B"/>
    <w:rsid w:val="00E27F87"/>
    <w:rsid w:val="00E64939"/>
    <w:rsid w:val="00F101B9"/>
    <w:rsid w:val="00F5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C08878-0E02-4271-8EB3-14210F49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2" w:right="1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857C0C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B7B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7B1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7B1F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7B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7B1F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C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C5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osettiegatti.eu/info/norme/statali/2016_005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2016_005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4974E-E6FA-4489-8EE7-7BBC711B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4503</Words>
  <Characters>25673</Characters>
  <Application>Microsoft Office Word</Application>
  <DocSecurity>4</DocSecurity>
  <Lines>213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</dc:creator>
  <cp:lastModifiedBy>Marafico Luigi Paolo</cp:lastModifiedBy>
  <cp:revision>2</cp:revision>
  <dcterms:created xsi:type="dcterms:W3CDTF">2021-12-20T08:36:00Z</dcterms:created>
  <dcterms:modified xsi:type="dcterms:W3CDTF">2021-12-20T08:36:00Z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2021-12-11T00:00:00Z</vt:filetime>
  </property>
</Properties>
</file>